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615B8" w14:textId="708CC92C" w:rsidR="000B6690" w:rsidRPr="000B6690" w:rsidRDefault="000B6690" w:rsidP="000B6690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/>
          <w:noProof/>
          <w:kern w:val="0"/>
          <w:sz w:val="24"/>
          <w:szCs w:val="20"/>
        </w:rPr>
      </w:pPr>
      <w:r w:rsidRPr="000B6690">
        <w:rPr>
          <w:rFonts w:ascii="Arial" w:eastAsia="宋体" w:hAnsi="Arial" w:cs="Arial"/>
          <w:b/>
          <w:noProof/>
          <w:kern w:val="0"/>
          <w:sz w:val="24"/>
          <w:szCs w:val="20"/>
        </w:rPr>
        <w:t>3GPP TSG-RAN WG2 Meeting #1</w:t>
      </w:r>
      <w:r w:rsidR="0080763E">
        <w:rPr>
          <w:rFonts w:ascii="Arial" w:eastAsia="宋体" w:hAnsi="Arial" w:cs="Arial"/>
          <w:b/>
          <w:noProof/>
          <w:kern w:val="0"/>
          <w:sz w:val="24"/>
          <w:szCs w:val="20"/>
        </w:rPr>
        <w:t>2</w:t>
      </w:r>
      <w:r w:rsidR="006F54A3">
        <w:rPr>
          <w:rFonts w:ascii="Arial" w:eastAsia="宋体" w:hAnsi="Arial" w:cs="Arial"/>
          <w:b/>
          <w:noProof/>
          <w:kern w:val="0"/>
          <w:sz w:val="24"/>
          <w:szCs w:val="20"/>
        </w:rPr>
        <w:t>4</w:t>
      </w:r>
      <w:r w:rsidRPr="000B6690">
        <w:rPr>
          <w:rFonts w:ascii="Arial" w:eastAsia="宋体" w:hAnsi="Arial" w:cs="Arial"/>
          <w:b/>
          <w:noProof/>
          <w:kern w:val="0"/>
          <w:sz w:val="24"/>
          <w:szCs w:val="20"/>
        </w:rPr>
        <w:tab/>
      </w:r>
      <w:r w:rsidR="007C7FDE" w:rsidRPr="007C7FDE">
        <w:rPr>
          <w:rFonts w:ascii="Arial" w:eastAsia="宋体" w:hAnsi="Arial" w:cs="Arial"/>
          <w:b/>
          <w:noProof/>
          <w:kern w:val="0"/>
          <w:sz w:val="24"/>
          <w:szCs w:val="20"/>
        </w:rPr>
        <w:t>R2-</w:t>
      </w:r>
      <w:r w:rsidR="00BE3ECD" w:rsidRPr="00BE3ECD">
        <w:t xml:space="preserve"> </w:t>
      </w:r>
      <w:r w:rsidR="00136C10" w:rsidRPr="00136C10">
        <w:rPr>
          <w:rFonts w:ascii="Arial" w:eastAsia="宋体" w:hAnsi="Arial" w:cs="Arial"/>
          <w:b/>
          <w:noProof/>
          <w:kern w:val="0"/>
          <w:sz w:val="24"/>
          <w:szCs w:val="20"/>
        </w:rPr>
        <w:t>23</w:t>
      </w:r>
      <w:r w:rsidR="006F54A3">
        <w:rPr>
          <w:rFonts w:ascii="Arial" w:eastAsia="宋体" w:hAnsi="Arial" w:cs="Arial"/>
          <w:b/>
          <w:noProof/>
          <w:kern w:val="0"/>
          <w:sz w:val="24"/>
          <w:szCs w:val="20"/>
        </w:rPr>
        <w:t>1</w:t>
      </w:r>
      <w:r w:rsidR="002343E1">
        <w:rPr>
          <w:rFonts w:ascii="Arial" w:eastAsia="宋体" w:hAnsi="Arial" w:cs="Arial"/>
          <w:b/>
          <w:noProof/>
          <w:kern w:val="0"/>
          <w:sz w:val="24"/>
          <w:szCs w:val="20"/>
        </w:rPr>
        <w:t>2467</w:t>
      </w:r>
    </w:p>
    <w:p w14:paraId="4BF14776" w14:textId="45BEC2E6" w:rsidR="00AA3FAE" w:rsidRPr="005B2E70" w:rsidRDefault="00931BE8" w:rsidP="000B6690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/>
          <w:noProof/>
          <w:kern w:val="0"/>
          <w:sz w:val="24"/>
          <w:szCs w:val="20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Chicago</w:t>
      </w:r>
      <w:r w:rsidR="001229AC">
        <w:rPr>
          <w:rFonts w:ascii="Arial" w:eastAsia="宋体" w:hAnsi="Arial" w:cs="黑体"/>
          <w:b/>
          <w:bCs/>
          <w:noProof/>
          <w:kern w:val="0"/>
          <w:sz w:val="24"/>
        </w:rPr>
        <w:t>,</w:t>
      </w:r>
      <w:r w:rsidR="00BF0D08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USA</w:t>
      </w:r>
      <w:r w:rsidR="00BF0D08">
        <w:rPr>
          <w:rFonts w:ascii="Arial" w:eastAsia="宋体" w:hAnsi="Arial" w:cs="黑体"/>
          <w:b/>
          <w:bCs/>
          <w:noProof/>
          <w:kern w:val="0"/>
          <w:sz w:val="24"/>
        </w:rPr>
        <w:t>,</w:t>
      </w:r>
      <w:r w:rsidR="00FB2DC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13</w:t>
      </w:r>
      <w:r w:rsidR="00E048A2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</w:t>
      </w:r>
      <w:r w:rsidR="007B3B93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1229AC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FB2DC5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7B3B93">
        <w:rPr>
          <w:rFonts w:ascii="Arial" w:eastAsia="宋体" w:hAnsi="Arial" w:cs="黑体"/>
          <w:b/>
          <w:bCs/>
          <w:noProof/>
          <w:kern w:val="0"/>
          <w:sz w:val="24"/>
        </w:rPr>
        <w:t>1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7</w:t>
      </w:r>
      <w:r w:rsidR="001229AC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FB2DC5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9A1EC0">
        <w:rPr>
          <w:rFonts w:ascii="Arial" w:eastAsia="宋体" w:hAnsi="Arial" w:cs="黑体"/>
          <w:b/>
          <w:bCs/>
          <w:noProof/>
          <w:kern w:val="0"/>
          <w:sz w:val="24"/>
        </w:rPr>
        <w:t>November</w:t>
      </w:r>
      <w:r w:rsidR="00FB2DC5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FB2DC5"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r w:rsidR="005B2E70">
        <w:rPr>
          <w:rFonts w:ascii="Arial" w:eastAsia="宋体" w:hAnsi="Arial" w:cs="Arial"/>
          <w:b/>
          <w:noProof/>
          <w:kern w:val="0"/>
          <w:sz w:val="24"/>
          <w:szCs w:val="20"/>
        </w:rPr>
        <w:tab/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0B09C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</w:r>
    </w:p>
    <w:p w14:paraId="0A8C0162" w14:textId="58382C79" w:rsidR="006F3844" w:rsidRDefault="006F3844" w:rsidP="006F3844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</w:pP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Agenda Item:</w:t>
      </w: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ab/>
      </w:r>
      <w:r w:rsidR="00166E1C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7</w:t>
      </w:r>
      <w:r w:rsidRPr="000B09C9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.</w:t>
      </w:r>
      <w:r w:rsidR="005039F0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12</w:t>
      </w:r>
      <w:r w:rsidR="00175A07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.</w:t>
      </w:r>
      <w:r w:rsidR="006F54A3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1</w:t>
      </w:r>
    </w:p>
    <w:p w14:paraId="3A7B9F35" w14:textId="565143AE" w:rsidR="00AA3FAE" w:rsidRPr="000B09C9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</w:pP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 xml:space="preserve">Source: </w:t>
      </w: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ab/>
      </w:r>
      <w:r w:rsidRPr="000B09C9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Lenovo</w:t>
      </w:r>
    </w:p>
    <w:p w14:paraId="396CAC10" w14:textId="37A0663D" w:rsidR="006F3844" w:rsidRPr="006F3844" w:rsidRDefault="006F3844" w:rsidP="006F3844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hAnsi="Arial" w:cs="Times New Roman"/>
          <w:b/>
          <w:bCs/>
          <w:kern w:val="0"/>
          <w:sz w:val="22"/>
          <w:szCs w:val="20"/>
          <w:lang w:val="en-GB"/>
        </w:rPr>
      </w:pP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 xml:space="preserve">Title: </w:t>
      </w: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ab/>
      </w:r>
      <w:r w:rsidR="00BF6BB5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Remaining issues for m</w:t>
      </w:r>
      <w:r w:rsidR="00253AF0" w:rsidRPr="00253AF0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 xml:space="preserve">obility enhancements </w:t>
      </w:r>
      <w:r w:rsidR="00BF6BB5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of</w:t>
      </w:r>
      <w:r w:rsidR="00253AF0" w:rsidRPr="00253AF0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 xml:space="preserve"> mobile IAB-node</w:t>
      </w:r>
    </w:p>
    <w:p w14:paraId="586F74AD" w14:textId="77777777" w:rsidR="00AA3FAE" w:rsidRPr="000B09C9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</w:pP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Document for:</w:t>
      </w: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ab/>
      </w:r>
      <w:r w:rsidRPr="000B09C9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Discussion and decision</w:t>
      </w:r>
    </w:p>
    <w:p w14:paraId="46DBFDB8" w14:textId="10C31FE6" w:rsidR="00AA3FAE" w:rsidRPr="000D2B2B" w:rsidRDefault="00AA3FAE" w:rsidP="000D2B2B">
      <w:pPr>
        <w:pStyle w:val="ac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0D2B2B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0B56E0A4" w14:textId="3CF821B9" w:rsidR="00A61DF4" w:rsidRDefault="00A61DF4" w:rsidP="00A61DF4">
      <w:pPr>
        <w:widowControl/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 new WID for mobile IAB-node [1] has been approved to be discussed in Rel-18, and following detail objectives are identified mainly focus on RAN3 and RAN2.</w:t>
      </w:r>
      <w:r w:rsidR="00E048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tbl>
      <w:tblPr>
        <w:tblpPr w:leftFromText="180" w:rightFromText="180" w:vertAnchor="text" w:tblpX="11" w:tblpY="171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A61DF4" w14:paraId="059CB986" w14:textId="77777777" w:rsidTr="00F32368">
        <w:trPr>
          <w:trHeight w:val="1266"/>
        </w:trPr>
        <w:tc>
          <w:tcPr>
            <w:tcW w:w="9670" w:type="dxa"/>
          </w:tcPr>
          <w:p w14:paraId="73BCEB24" w14:textId="77777777" w:rsidR="00712DD9" w:rsidRPr="00712DD9" w:rsidRDefault="00712DD9" w:rsidP="00712DD9">
            <w:pPr>
              <w:pStyle w:val="maintext"/>
              <w:numPr>
                <w:ilvl w:val="0"/>
                <w:numId w:val="16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712DD9">
              <w:rPr>
                <w:rFonts w:eastAsia="Times New Roman" w:cs="Times New Roman"/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3195C568" w14:textId="77777777" w:rsidR="00712DD9" w:rsidRPr="00712DD9" w:rsidRDefault="00712DD9" w:rsidP="00712DD9">
            <w:pPr>
              <w:pStyle w:val="maintext"/>
              <w:numPr>
                <w:ilvl w:val="1"/>
                <w:numId w:val="16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712DD9">
              <w:rPr>
                <w:rFonts w:eastAsia="Times New Roman" w:cs="Times New Roman"/>
                <w:lang w:eastAsia="en-US"/>
              </w:rPr>
              <w:t>The mobile IAB-node can connect to a stationary (intermediate) IAB-node. Optimizations specific to the scenarios, where the mobile IAB-node connects to a stationary (intermediate) IAB-node, or where it directly connects to an IAB-donor-DU are de-prioritized.</w:t>
            </w:r>
          </w:p>
          <w:p w14:paraId="59C2EE09" w14:textId="77777777" w:rsidR="00712DD9" w:rsidRPr="00712DD9" w:rsidRDefault="00712DD9" w:rsidP="00712DD9">
            <w:pPr>
              <w:pStyle w:val="maintext"/>
              <w:numPr>
                <w:ilvl w:val="1"/>
                <w:numId w:val="16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712DD9">
              <w:rPr>
                <w:rFonts w:eastAsia="Times New Roman" w:cs="Times New Roman"/>
                <w:lang w:eastAsia="en-US"/>
              </w:rPr>
              <w:t>The mobility of dual-connected IAB-nodes is down-prioritized.</w:t>
            </w:r>
          </w:p>
          <w:p w14:paraId="2632C582" w14:textId="77777777" w:rsidR="00712DD9" w:rsidRPr="00712DD9" w:rsidRDefault="00712DD9" w:rsidP="00712DD9">
            <w:pPr>
              <w:pStyle w:val="maintext"/>
              <w:numPr>
                <w:ilvl w:val="0"/>
                <w:numId w:val="16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712DD9">
              <w:rPr>
                <w:rFonts w:eastAsia="Times New Roman" w:cs="Times New Roman"/>
                <w:lang w:eastAsia="en-US"/>
              </w:rPr>
              <w:t>Enhancements for mobility of an IAB-node together with its served UEs, including aspects related to group mobility. No optimizations for the targeting of surrounding UEs. [RAN3, RAN2]</w:t>
            </w:r>
          </w:p>
          <w:p w14:paraId="04CFD7D5" w14:textId="77777777" w:rsidR="00712DD9" w:rsidRPr="00712DD9" w:rsidRDefault="00712DD9" w:rsidP="00712DD9">
            <w:pPr>
              <w:pStyle w:val="maintext"/>
              <w:spacing w:line="240" w:lineRule="auto"/>
              <w:ind w:left="720" w:firstLineChars="0" w:firstLine="0"/>
              <w:rPr>
                <w:rFonts w:eastAsia="Times New Roman" w:cs="Times New Roman"/>
                <w:i/>
                <w:iCs/>
                <w:lang w:eastAsia="en-US"/>
              </w:rPr>
            </w:pPr>
            <w:r w:rsidRPr="00712DD9">
              <w:rPr>
                <w:rFonts w:eastAsia="Times New Roman" w:cs="Times New Roman"/>
                <w:i/>
                <w:iCs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1C6263D6" w14:textId="3497C46C" w:rsidR="00A61DF4" w:rsidRPr="00732338" w:rsidRDefault="00712DD9" w:rsidP="00712DD9">
            <w:pPr>
              <w:pStyle w:val="maintext"/>
              <w:numPr>
                <w:ilvl w:val="0"/>
                <w:numId w:val="16"/>
              </w:numPr>
              <w:spacing w:line="240" w:lineRule="auto"/>
              <w:ind w:firstLineChars="0"/>
              <w:rPr>
                <w:lang w:eastAsia="en-GB"/>
              </w:rPr>
            </w:pPr>
            <w:r w:rsidRPr="00712DD9">
              <w:rPr>
                <w:rFonts w:eastAsia="Times New Roman" w:cs="Times New Roman"/>
                <w:lang w:eastAsia="en-US"/>
              </w:rPr>
              <w:t>Mitigation of interference due to IAB-node mobility, including the avoidance of potential reference and control signal collisions (e.g. PCI, RACH). [RAN3, RAN2]</w:t>
            </w:r>
          </w:p>
        </w:tc>
      </w:tr>
    </w:tbl>
    <w:p w14:paraId="0B940363" w14:textId="06009F93" w:rsidR="00A61DF4" w:rsidRDefault="00A61DF4" w:rsidP="00A61DF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3752E3">
        <w:rPr>
          <w:rFonts w:ascii="Times New Roman" w:eastAsia="宋体" w:hAnsi="Times New Roman" w:cs="Times New Roman"/>
          <w:kern w:val="0"/>
          <w:sz w:val="20"/>
          <w:szCs w:val="20"/>
        </w:rPr>
        <w:t xml:space="preserve">mobility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enhancement</w:t>
      </w:r>
      <w:r w:rsidR="006F3309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mobile IAB-node </w:t>
      </w:r>
      <w:r w:rsidR="003752E3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its connected UEs </w:t>
      </w:r>
      <w:r w:rsidR="004E4425">
        <w:rPr>
          <w:rFonts w:ascii="Times New Roman" w:eastAsia="宋体" w:hAnsi="Times New Roman" w:cs="Times New Roman"/>
          <w:kern w:val="0"/>
          <w:sz w:val="20"/>
          <w:szCs w:val="20"/>
        </w:rPr>
        <w:t>are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discussed, including </w:t>
      </w:r>
      <w:r w:rsidRPr="006E5566">
        <w:rPr>
          <w:rFonts w:ascii="Times New Roman" w:eastAsia="宋体" w:hAnsi="Times New Roman" w:cs="Times New Roman"/>
          <w:kern w:val="0"/>
          <w:sz w:val="20"/>
          <w:szCs w:val="20"/>
        </w:rPr>
        <w:t xml:space="preserve">aspects related to </w:t>
      </w:r>
      <w:r w:rsidR="003752E3">
        <w:rPr>
          <w:rFonts w:ascii="Times New Roman" w:eastAsia="宋体" w:hAnsi="Times New Roman" w:cs="Times New Roman"/>
          <w:kern w:val="0"/>
          <w:sz w:val="20"/>
          <w:szCs w:val="20"/>
        </w:rPr>
        <w:t>CHO</w:t>
      </w:r>
      <w:r w:rsidR="003C2DC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3752E3">
        <w:rPr>
          <w:rFonts w:ascii="Times New Roman" w:eastAsia="宋体" w:hAnsi="Times New Roman" w:cs="Times New Roman"/>
          <w:kern w:val="0"/>
          <w:sz w:val="20"/>
          <w:szCs w:val="20"/>
        </w:rPr>
        <w:t>and some other aspects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70B1293" w:rsidR="00AA3FAE" w:rsidRPr="001119CE" w:rsidRDefault="00AA3FAE" w:rsidP="001119CE">
      <w:pPr>
        <w:pStyle w:val="ac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1119C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5B00ECAC" w14:textId="40BE3FD6" w:rsidR="00D02D3B" w:rsidRPr="0066723C" w:rsidRDefault="00D02D3B" w:rsidP="00D02D3B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Conditional handover for served UEs</w:t>
      </w:r>
    </w:p>
    <w:tbl>
      <w:tblPr>
        <w:tblW w:w="965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50"/>
      </w:tblGrid>
      <w:tr w:rsidR="00657ABB" w14:paraId="326D3BFD" w14:textId="77777777" w:rsidTr="00657ABB">
        <w:trPr>
          <w:trHeight w:val="2615"/>
        </w:trPr>
        <w:tc>
          <w:tcPr>
            <w:tcW w:w="9650" w:type="dxa"/>
          </w:tcPr>
          <w:p w14:paraId="14B6EE30" w14:textId="5AE2B082" w:rsidR="00657ABB" w:rsidRPr="00657ABB" w:rsidRDefault="00BB5FC3" w:rsidP="00657ABB">
            <w:pPr>
              <w:widowControl/>
              <w:spacing w:after="18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3E0973">
              <w:rPr>
                <w:rFonts w:ascii="Times New Roman" w:hAnsi="Times New Roman" w:cs="Times New Roman"/>
                <w:b/>
                <w:bCs/>
              </w:rPr>
              <w:t>Agreements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from </w:t>
            </w:r>
            <w:r w:rsidR="00657ABB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RAN2 119bis-e:</w:t>
            </w:r>
          </w:p>
          <w:p w14:paraId="5B30401D" w14:textId="77777777" w:rsidR="00657ABB" w:rsidRPr="004B24FB" w:rsidRDefault="00657ABB" w:rsidP="00657ABB">
            <w:pPr>
              <w:pStyle w:val="Doc-text2"/>
              <w:rPr>
                <w:i/>
                <w:iCs/>
                <w:lang w:val="en-US"/>
              </w:rPr>
            </w:pPr>
            <w:r w:rsidRPr="004B24FB">
              <w:rPr>
                <w:i/>
                <w:iCs/>
                <w:lang w:val="en-US"/>
              </w:rPr>
              <w:t xml:space="preserve">1) message withholding by the logical source IAB-DU with conditional delivery, e.g., upon on MT migration, </w:t>
            </w:r>
          </w:p>
          <w:p w14:paraId="65187EA9" w14:textId="77777777" w:rsidR="00657ABB" w:rsidRPr="004B24FB" w:rsidRDefault="00657ABB" w:rsidP="00657ABB">
            <w:pPr>
              <w:pStyle w:val="Doc-text2"/>
              <w:rPr>
                <w:i/>
                <w:iCs/>
                <w:lang w:val="en-US"/>
              </w:rPr>
            </w:pPr>
            <w:r w:rsidRPr="004B24FB">
              <w:rPr>
                <w:i/>
                <w:iCs/>
                <w:lang w:val="en-US"/>
              </w:rPr>
              <w:t>2) conditional execution by the UE based on, e.g., a broadcast indication such as SIB indication of service time or DCI indication of MT-migration,</w:t>
            </w:r>
            <w:r>
              <w:rPr>
                <w:i/>
                <w:iCs/>
                <w:lang w:val="en-US"/>
              </w:rPr>
              <w:t xml:space="preserve"> (includes CHO with new trigger). </w:t>
            </w:r>
          </w:p>
          <w:p w14:paraId="77C00956" w14:textId="77777777" w:rsidR="00657ABB" w:rsidRPr="004B24FB" w:rsidRDefault="00657ABB" w:rsidP="00657ABB">
            <w:pPr>
              <w:pStyle w:val="Doc-text2"/>
              <w:rPr>
                <w:i/>
                <w:iCs/>
                <w:lang w:val="en-US"/>
              </w:rPr>
            </w:pPr>
            <w:r w:rsidRPr="004B24FB">
              <w:rPr>
                <w:i/>
                <w:iCs/>
                <w:lang w:val="en-US"/>
              </w:rPr>
              <w:t xml:space="preserve">3) legacy CHO (with implementation specific </w:t>
            </w:r>
            <w:proofErr w:type="spellStart"/>
            <w:r w:rsidRPr="004B24FB">
              <w:rPr>
                <w:i/>
                <w:iCs/>
                <w:lang w:val="en-US"/>
              </w:rPr>
              <w:t>behaviour</w:t>
            </w:r>
            <w:proofErr w:type="spellEnd"/>
            <w:r w:rsidRPr="004B24FB">
              <w:rPr>
                <w:i/>
                <w:iCs/>
                <w:lang w:val="en-US"/>
              </w:rPr>
              <w:t>, e.g. using source-cell power down or target cell power up triggering the actual HO)</w:t>
            </w:r>
          </w:p>
          <w:p w14:paraId="2DCD2766" w14:textId="57CA9CC9" w:rsidR="00657ABB" w:rsidRPr="00657ABB" w:rsidRDefault="00657ABB" w:rsidP="00657ABB">
            <w:pPr>
              <w:pStyle w:val="Agreement"/>
              <w:tabs>
                <w:tab w:val="clear" w:pos="-896"/>
                <w:tab w:val="num" w:pos="1619"/>
              </w:tabs>
              <w:ind w:left="1619"/>
            </w:pPr>
            <w:r>
              <w:t xml:space="preserve">RAN2 assumes that O1 and O3 above could work, and FFS if O2 above (new trigger etc) is needed. </w:t>
            </w:r>
          </w:p>
        </w:tc>
      </w:tr>
    </w:tbl>
    <w:p w14:paraId="23F20B99" w14:textId="146BF96F" w:rsidR="007650AE" w:rsidRDefault="00657ABB" w:rsidP="00D02D3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or Option 1, </w:t>
      </w:r>
      <w:r w:rsidR="00317D40" w:rsidRPr="00317D40">
        <w:rPr>
          <w:rFonts w:ascii="Times New Roman" w:eastAsia="宋体" w:hAnsi="Times New Roman" w:cs="Times New Roman"/>
          <w:kern w:val="0"/>
          <w:sz w:val="20"/>
          <w:szCs w:val="20"/>
        </w:rPr>
        <w:t>RRC Reconfiguration message</w:t>
      </w:r>
      <w:r w:rsidR="00317D40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317D40" w:rsidRPr="00317D40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317D40">
        <w:rPr>
          <w:rFonts w:ascii="Times New Roman" w:eastAsia="宋体" w:hAnsi="Times New Roman" w:cs="Times New Roman"/>
          <w:kern w:val="0"/>
          <w:sz w:val="20"/>
          <w:szCs w:val="20"/>
        </w:rPr>
        <w:t>are firstly</w:t>
      </w:r>
      <w:r w:rsidR="00317D40" w:rsidRPr="00317D40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sent to source IAB-DU</w:t>
      </w:r>
      <w:r w:rsidR="00317D40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mobile IAB-node, and the source IAB-DU withholds the </w:t>
      </w:r>
      <w:r w:rsidR="00317D40" w:rsidRPr="00317D40">
        <w:rPr>
          <w:rFonts w:ascii="Times New Roman" w:eastAsia="宋体" w:hAnsi="Times New Roman" w:cs="Times New Roman"/>
          <w:kern w:val="0"/>
          <w:sz w:val="20"/>
          <w:szCs w:val="20"/>
        </w:rPr>
        <w:t>RRC Reconfiguration message</w:t>
      </w:r>
      <w:r w:rsidR="00317D40">
        <w:rPr>
          <w:rFonts w:ascii="Times New Roman" w:eastAsia="宋体" w:hAnsi="Times New Roman" w:cs="Times New Roman"/>
          <w:kern w:val="0"/>
          <w:sz w:val="20"/>
          <w:szCs w:val="20"/>
        </w:rPr>
        <w:t xml:space="preserve">s until some specific conditions are met and </w:t>
      </w:r>
      <w:r w:rsidR="00875D9D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then </w:t>
      </w:r>
      <w:r w:rsidR="00C44701">
        <w:rPr>
          <w:rFonts w:ascii="Times New Roman" w:eastAsia="宋体" w:hAnsi="Times New Roman" w:cs="Times New Roman"/>
          <w:kern w:val="0"/>
          <w:sz w:val="20"/>
          <w:szCs w:val="20"/>
        </w:rPr>
        <w:t>delivers</w:t>
      </w:r>
      <w:r w:rsidR="00317D40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</w:t>
      </w:r>
      <w:r w:rsidR="00317D40" w:rsidRPr="00317D40">
        <w:rPr>
          <w:rFonts w:ascii="Times New Roman" w:eastAsia="宋体" w:hAnsi="Times New Roman" w:cs="Times New Roman"/>
          <w:kern w:val="0"/>
          <w:sz w:val="20"/>
          <w:szCs w:val="20"/>
        </w:rPr>
        <w:t>RRC Reconfiguration message</w:t>
      </w:r>
      <w:r w:rsidR="00317D40">
        <w:rPr>
          <w:rFonts w:ascii="Times New Roman" w:eastAsia="宋体" w:hAnsi="Times New Roman" w:cs="Times New Roman"/>
          <w:kern w:val="0"/>
          <w:sz w:val="20"/>
          <w:szCs w:val="20"/>
        </w:rPr>
        <w:t>s to each connected UEs.</w:t>
      </w:r>
      <w:r w:rsidR="00875D9D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44701">
        <w:rPr>
          <w:rFonts w:ascii="Times New Roman" w:eastAsia="宋体" w:hAnsi="Times New Roman" w:cs="Times New Roman"/>
          <w:kern w:val="0"/>
          <w:sz w:val="20"/>
          <w:szCs w:val="20"/>
        </w:rPr>
        <w:t>Because s</w:t>
      </w:r>
      <w:r w:rsidR="00BE1FB3">
        <w:rPr>
          <w:rFonts w:ascii="Times New Roman" w:eastAsia="宋体" w:hAnsi="Times New Roman" w:cs="Times New Roman"/>
          <w:kern w:val="0"/>
          <w:sz w:val="20"/>
          <w:szCs w:val="20"/>
        </w:rPr>
        <w:t>imilar delay RRC configuration procedure has been defined in RAN3 during R17</w:t>
      </w:r>
      <w:r w:rsidR="00220099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</w:t>
      </w:r>
      <w:r w:rsidR="00220099" w:rsidRPr="00220099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reconfiguration of descendent nodes during intra-donor migration</w:t>
      </w:r>
      <w:r w:rsidR="00C44701">
        <w:rPr>
          <w:rFonts w:ascii="Times New Roman" w:eastAsia="宋体" w:hAnsi="Times New Roman" w:cs="Times New Roman"/>
          <w:kern w:val="0"/>
          <w:sz w:val="20"/>
          <w:szCs w:val="20"/>
        </w:rPr>
        <w:t xml:space="preserve">, and the Option 1 has no impacts on legacy UEs. However, for the deliver condition, </w:t>
      </w:r>
      <w:r w:rsidR="000E6C5A">
        <w:rPr>
          <w:rFonts w:ascii="Times New Roman" w:eastAsia="宋体" w:hAnsi="Times New Roman" w:cs="Times New Roman"/>
          <w:kern w:val="0"/>
          <w:sz w:val="20"/>
          <w:szCs w:val="20"/>
        </w:rPr>
        <w:t>MT migration may not feasible as defined in RAN3 that IAB-MT handover and IAB-DU migration is</w:t>
      </w:r>
      <w:r w:rsidR="000E6C5A" w:rsidRPr="000E6C5A">
        <w:rPr>
          <w:rFonts w:ascii="Times New Roman" w:eastAsia="宋体" w:hAnsi="Times New Roman" w:cs="Times New Roman"/>
          <w:kern w:val="0"/>
          <w:sz w:val="20"/>
          <w:szCs w:val="20"/>
        </w:rPr>
        <w:t xml:space="preserve"> executed independently</w:t>
      </w:r>
      <w:r w:rsidR="000E6C5A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58E05EE9" w14:textId="461A1CF1" w:rsidR="00D02D3B" w:rsidRDefault="007650AE" w:rsidP="00D02D3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For Option 2, because it’s not supported by the legacy UEs, then this option can be deprioritized.</w:t>
      </w:r>
    </w:p>
    <w:p w14:paraId="40EB6223" w14:textId="3E455B7A" w:rsidR="005A09F0" w:rsidRDefault="007650AE" w:rsidP="005A09F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lastRenderedPageBreak/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or Option 3, </w:t>
      </w:r>
      <w:r w:rsidR="002750D3">
        <w:rPr>
          <w:rFonts w:ascii="Times New Roman" w:eastAsia="宋体" w:hAnsi="Times New Roman" w:cs="Times New Roman"/>
          <w:kern w:val="0"/>
          <w:sz w:val="20"/>
          <w:szCs w:val="20"/>
        </w:rPr>
        <w:t xml:space="preserve">legacy CHO </w:t>
      </w:r>
      <w:r w:rsidR="005A09F0">
        <w:rPr>
          <w:rFonts w:ascii="Times New Roman" w:eastAsia="宋体" w:hAnsi="Times New Roman" w:cs="Times New Roman"/>
          <w:kern w:val="0"/>
          <w:sz w:val="20"/>
          <w:szCs w:val="20"/>
        </w:rPr>
        <w:t xml:space="preserve">configuration can be fully reused for UEs, and source IAB-DU can power down </w:t>
      </w:r>
      <w:r w:rsidR="00F02242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cells </w:t>
      </w:r>
      <w:r w:rsidR="005A09F0">
        <w:rPr>
          <w:rFonts w:ascii="Times New Roman" w:eastAsia="宋体" w:hAnsi="Times New Roman" w:cs="Times New Roman"/>
          <w:kern w:val="0"/>
          <w:sz w:val="20"/>
          <w:szCs w:val="20"/>
        </w:rPr>
        <w:t xml:space="preserve">by implementation to trigger the served UEs perform CHO to target IAB-DU, which has fewest standards impacts among 3 options. While for power up </w:t>
      </w:r>
      <w:r w:rsidR="00F02242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cells </w:t>
      </w:r>
      <w:r w:rsidR="005A09F0">
        <w:rPr>
          <w:rFonts w:ascii="Times New Roman" w:eastAsia="宋体" w:hAnsi="Times New Roman" w:cs="Times New Roman"/>
          <w:kern w:val="0"/>
          <w:sz w:val="20"/>
          <w:szCs w:val="20"/>
        </w:rPr>
        <w:t>of target IAB-DU</w:t>
      </w:r>
      <w:r w:rsidR="00911342">
        <w:rPr>
          <w:rFonts w:ascii="Times New Roman" w:eastAsia="宋体" w:hAnsi="Times New Roman" w:cs="Times New Roman"/>
          <w:kern w:val="0"/>
          <w:sz w:val="20"/>
          <w:szCs w:val="20"/>
        </w:rPr>
        <w:t xml:space="preserve">, it’s not recommended </w:t>
      </w:r>
      <w:r w:rsidR="00BD1442">
        <w:rPr>
          <w:rFonts w:ascii="Times New Roman" w:eastAsia="宋体" w:hAnsi="Times New Roman" w:cs="Times New Roman"/>
          <w:kern w:val="0"/>
          <w:sz w:val="20"/>
          <w:szCs w:val="20"/>
        </w:rPr>
        <w:t>that it</w:t>
      </w:r>
      <w:r w:rsidR="00911342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cause</w:t>
      </w:r>
      <w:r w:rsidR="00BD1442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911342">
        <w:rPr>
          <w:rFonts w:ascii="Times New Roman" w:eastAsia="宋体" w:hAnsi="Times New Roman" w:cs="Times New Roman"/>
          <w:kern w:val="0"/>
          <w:sz w:val="20"/>
          <w:szCs w:val="20"/>
        </w:rPr>
        <w:t xml:space="preserve"> additional unnecessary HO/CHO on other UEs.</w:t>
      </w:r>
    </w:p>
    <w:p w14:paraId="33296235" w14:textId="3B02C859" w:rsidR="00D24D72" w:rsidRDefault="003B0384" w:rsidP="00D02D3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B0384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3B038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</w:t>
      </w:r>
      <w:r w:rsidR="00FB748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Legacy CHO procedure can be reused by the served UEs of mobile IAB-node, and source IAB-DU </w:t>
      </w:r>
      <w:r w:rsidR="00552A2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powers down the cells by implementation to trigger the CHO</w:t>
      </w:r>
      <w:r w:rsidR="00FB748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tbl>
      <w:tblPr>
        <w:tblW w:w="965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50"/>
      </w:tblGrid>
      <w:tr w:rsidR="00BE7893" w14:paraId="439B0E56" w14:textId="77777777" w:rsidTr="00094112">
        <w:trPr>
          <w:trHeight w:val="1056"/>
        </w:trPr>
        <w:tc>
          <w:tcPr>
            <w:tcW w:w="9650" w:type="dxa"/>
          </w:tcPr>
          <w:p w14:paraId="3CD6113A" w14:textId="4EE919C4" w:rsidR="00BE7893" w:rsidRPr="00657ABB" w:rsidRDefault="00BE7893" w:rsidP="001E5E26">
            <w:pPr>
              <w:widowControl/>
              <w:spacing w:after="18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3E0973">
              <w:rPr>
                <w:rFonts w:ascii="Times New Roman" w:hAnsi="Times New Roman" w:cs="Times New Roman"/>
                <w:b/>
                <w:bCs/>
              </w:rPr>
              <w:t>Agreements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from 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RAN2 121bis-e:</w:t>
            </w:r>
          </w:p>
          <w:p w14:paraId="6AE739A3" w14:textId="130CFA86" w:rsidR="00094112" w:rsidRPr="00BE7893" w:rsidRDefault="00BE7893" w:rsidP="00094112">
            <w:pPr>
              <w:widowControl/>
              <w:tabs>
                <w:tab w:val="num" w:pos="1619"/>
              </w:tabs>
              <w:spacing w:before="60"/>
              <w:ind w:left="1619" w:hanging="360"/>
              <w:jc w:val="left"/>
              <w:rPr>
                <w:rFonts w:ascii="Arial" w:eastAsia="MS Mincho" w:hAnsi="Arial" w:cs="Times New Roman"/>
                <w:b/>
                <w:kern w:val="0"/>
                <w:sz w:val="20"/>
                <w:szCs w:val="24"/>
                <w:lang w:val="en-GB" w:eastAsia="en-GB"/>
              </w:rPr>
            </w:pPr>
            <w:r w:rsidRPr="00252CBB">
              <w:rPr>
                <w:rFonts w:ascii="Arial" w:eastAsia="MS Mincho" w:hAnsi="Arial" w:cs="Times New Roman"/>
                <w:b/>
                <w:kern w:val="0"/>
                <w:sz w:val="20"/>
                <w:szCs w:val="24"/>
                <w:lang w:val="en-GB" w:eastAsia="en-GB"/>
              </w:rPr>
              <w:t xml:space="preserve">FFS: May support CHO with CondT1 if it is “for free”, i.e. if TS impact is just to slightly modify the description to make it also applicable to TN. </w:t>
            </w:r>
          </w:p>
        </w:tc>
      </w:tr>
    </w:tbl>
    <w:p w14:paraId="74CCD685" w14:textId="2A0389A4" w:rsidR="004C7B9B" w:rsidRPr="00BE7893" w:rsidRDefault="006D40CA" w:rsidP="00D02D3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Current</w:t>
      </w:r>
      <w:r w:rsidR="00D812CE">
        <w:rPr>
          <w:rFonts w:ascii="Times New Roman" w:eastAsia="宋体" w:hAnsi="Times New Roman" w:cs="Times New Roman"/>
          <w:kern w:val="0"/>
          <w:sz w:val="20"/>
          <w:szCs w:val="20"/>
        </w:rPr>
        <w:t>ly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CHO with CondT1 is only applied to NTN UE</w:t>
      </w:r>
      <w:r w:rsidR="00D972E4">
        <w:rPr>
          <w:rFonts w:ascii="Times New Roman" w:eastAsia="宋体" w:hAnsi="Times New Roman" w:cs="Times New Roman"/>
          <w:kern w:val="0"/>
          <w:sz w:val="20"/>
          <w:szCs w:val="20"/>
        </w:rPr>
        <w:t xml:space="preserve">. While in the </w:t>
      </w:r>
      <w:proofErr w:type="spellStart"/>
      <w:r w:rsidR="00D972E4"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 w:rsidR="00D972E4">
        <w:rPr>
          <w:rFonts w:ascii="Times New Roman" w:eastAsia="宋体" w:hAnsi="Times New Roman" w:cs="Times New Roman"/>
          <w:kern w:val="0"/>
          <w:sz w:val="20"/>
          <w:szCs w:val="20"/>
        </w:rPr>
        <w:t xml:space="preserve"> scenario, the motivation to introduce the CHO with CondT1 is to spread out the handover of served UEs during </w:t>
      </w:r>
      <w:proofErr w:type="spellStart"/>
      <w:r w:rsidR="00D972E4"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 w:rsidR="00D972E4">
        <w:rPr>
          <w:rFonts w:ascii="Times New Roman" w:eastAsia="宋体" w:hAnsi="Times New Roman" w:cs="Times New Roman"/>
          <w:kern w:val="0"/>
          <w:sz w:val="20"/>
          <w:szCs w:val="20"/>
        </w:rPr>
        <w:t>-DU migration, in order to alleviate the signaling sto</w:t>
      </w:r>
      <w:r w:rsidR="00356D3E">
        <w:rPr>
          <w:rFonts w:ascii="Times New Roman" w:eastAsia="宋体" w:hAnsi="Times New Roman" w:cs="Times New Roman"/>
          <w:kern w:val="0"/>
          <w:sz w:val="20"/>
          <w:szCs w:val="20"/>
        </w:rPr>
        <w:t xml:space="preserve">rm for </w:t>
      </w:r>
      <w:r w:rsidR="00356D3E" w:rsidRPr="00356D3E">
        <w:rPr>
          <w:rFonts w:ascii="Times New Roman" w:eastAsia="宋体" w:hAnsi="Times New Roman" w:cs="Times New Roman"/>
          <w:kern w:val="0"/>
          <w:sz w:val="20"/>
          <w:szCs w:val="20"/>
        </w:rPr>
        <w:t>large amounts of</w:t>
      </w:r>
      <w:r w:rsidR="00356D3E">
        <w:rPr>
          <w:rFonts w:ascii="Times New Roman" w:eastAsia="宋体" w:hAnsi="Times New Roman" w:cs="Times New Roman"/>
          <w:kern w:val="0"/>
          <w:sz w:val="20"/>
          <w:szCs w:val="20"/>
        </w:rPr>
        <w:t xml:space="preserve"> handover UEs. </w:t>
      </w:r>
      <w:r w:rsidR="00E968B2">
        <w:rPr>
          <w:rFonts w:ascii="Times New Roman" w:eastAsia="宋体" w:hAnsi="Times New Roman" w:cs="Times New Roman"/>
          <w:kern w:val="0"/>
          <w:sz w:val="20"/>
          <w:szCs w:val="20"/>
        </w:rPr>
        <w:t xml:space="preserve">However, during IAB-DU migration, both cells of source logical IAB-DU and target logical IAB-DU are </w:t>
      </w:r>
      <w:r w:rsidR="00421C46">
        <w:rPr>
          <w:rFonts w:ascii="Times New Roman" w:eastAsia="宋体" w:hAnsi="Times New Roman" w:cs="Times New Roman"/>
          <w:kern w:val="0"/>
          <w:sz w:val="20"/>
          <w:szCs w:val="20"/>
        </w:rPr>
        <w:t xml:space="preserve">activated at the same time, and </w:t>
      </w:r>
      <w:r w:rsidR="00E968B2">
        <w:rPr>
          <w:rFonts w:ascii="Times New Roman" w:eastAsia="宋体" w:hAnsi="Times New Roman" w:cs="Times New Roman"/>
          <w:kern w:val="0"/>
          <w:sz w:val="20"/>
          <w:szCs w:val="20"/>
        </w:rPr>
        <w:t>the time to handover the served UE</w:t>
      </w:r>
      <w:r w:rsidR="00421C46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E968B2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</w:t>
      </w:r>
      <w:proofErr w:type="spellStart"/>
      <w:r w:rsidR="00E968B2"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 w:rsidR="00E968B2">
        <w:rPr>
          <w:rFonts w:ascii="Times New Roman" w:eastAsia="宋体" w:hAnsi="Times New Roman" w:cs="Times New Roman"/>
          <w:kern w:val="0"/>
          <w:sz w:val="20"/>
          <w:szCs w:val="20"/>
        </w:rPr>
        <w:t>-node is determined by the source F1-terminating IAB-donor</w:t>
      </w:r>
      <w:r w:rsidR="00421C46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E968B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21C46">
        <w:rPr>
          <w:rFonts w:ascii="Times New Roman" w:eastAsia="宋体" w:hAnsi="Times New Roman" w:cs="Times New Roman"/>
          <w:kern w:val="0"/>
          <w:sz w:val="20"/>
          <w:szCs w:val="20"/>
        </w:rPr>
        <w:t>Then,</w:t>
      </w:r>
      <w:r w:rsidR="00E968B2">
        <w:rPr>
          <w:rFonts w:ascii="Times New Roman" w:eastAsia="宋体" w:hAnsi="Times New Roman" w:cs="Times New Roman"/>
          <w:kern w:val="0"/>
          <w:sz w:val="20"/>
          <w:szCs w:val="20"/>
        </w:rPr>
        <w:t xml:space="preserve"> it can be left to the</w:t>
      </w:r>
      <w:r w:rsidR="00421C46">
        <w:rPr>
          <w:rFonts w:ascii="Times New Roman" w:eastAsia="宋体" w:hAnsi="Times New Roman" w:cs="Times New Roman"/>
          <w:kern w:val="0"/>
          <w:sz w:val="20"/>
          <w:szCs w:val="20"/>
        </w:rPr>
        <w:t xml:space="preserve"> source</w:t>
      </w:r>
      <w:r w:rsidR="00E968B2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IAB-donor’s implementation to distribute </w:t>
      </w:r>
      <w:r w:rsidR="00421C46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time of the handover among all served UEs, </w:t>
      </w:r>
      <w:r w:rsidR="00CA3FA7">
        <w:rPr>
          <w:rFonts w:ascii="Times New Roman" w:eastAsia="宋体" w:hAnsi="Times New Roman" w:cs="Times New Roman"/>
          <w:kern w:val="0"/>
          <w:sz w:val="20"/>
          <w:szCs w:val="20"/>
        </w:rPr>
        <w:t>there is no need to introduce CHO with CondT1 for mobile IAB.</w:t>
      </w:r>
    </w:p>
    <w:p w14:paraId="6BB47FF9" w14:textId="06370B1D" w:rsidR="004C7B9B" w:rsidRPr="004C7B9B" w:rsidRDefault="003A6B1D" w:rsidP="00D02D3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2: N</w:t>
      </w:r>
      <w:r w:rsidR="00A75619">
        <w:rPr>
          <w:rFonts w:ascii="Times New Roman" w:hAnsi="Times New Roman" w:cs="Times New Roman"/>
          <w:b/>
          <w:bCs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need to introduce time-based CHO for served UEs of </w:t>
      </w:r>
      <w:proofErr w:type="spellStart"/>
      <w:r w:rsidR="00A75619">
        <w:rPr>
          <w:rFonts w:ascii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hAnsi="Times New Roman" w:cs="Times New Roman"/>
          <w:b/>
          <w:bCs/>
          <w:sz w:val="20"/>
          <w:szCs w:val="20"/>
        </w:rPr>
        <w:t>IAB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>-node during DU migration, and source IAB-donor can spread out the UE handover via implementation.</w:t>
      </w:r>
    </w:p>
    <w:p w14:paraId="2992638F" w14:textId="41672174" w:rsidR="00FA3FF7" w:rsidRPr="00FA3FF7" w:rsidRDefault="00FA3FF7" w:rsidP="00C5700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On-board UE status identification</w:t>
      </w:r>
    </w:p>
    <w:p w14:paraId="41210F01" w14:textId="5EDEEF62" w:rsidR="00C5700F" w:rsidRPr="00787658" w:rsidRDefault="00C5700F" w:rsidP="00C5700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787658">
        <w:rPr>
          <w:rFonts w:ascii="Times New Roman" w:eastAsia="宋体" w:hAnsi="Times New Roman" w:cs="Times New Roman"/>
          <w:kern w:val="0"/>
          <w:sz w:val="20"/>
          <w:szCs w:val="20"/>
        </w:rPr>
        <w:t>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AN</w:t>
      </w:r>
      <w:r w:rsidRPr="00787658">
        <w:rPr>
          <w:rFonts w:ascii="Times New Roman" w:eastAsia="宋体" w:hAnsi="Times New Roman" w:cs="Times New Roman"/>
          <w:kern w:val="0"/>
          <w:sz w:val="20"/>
          <w:szCs w:val="20"/>
        </w:rPr>
        <w:t xml:space="preserve">2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has agreed that</w:t>
      </w:r>
      <w:r w:rsidRPr="00787658">
        <w:rPr>
          <w:rFonts w:ascii="Times New Roman" w:eastAsia="宋体" w:hAnsi="Times New Roman" w:cs="Times New Roman"/>
          <w:kern w:val="0"/>
          <w:sz w:val="20"/>
          <w:szCs w:val="20"/>
        </w:rPr>
        <w:t xml:space="preserve"> RACH-less procedure may be considered for on-board RRC_CONNECTED UEs, which are to be handed over together with the mobile IAB-node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It means that the target IAB-donor-CU needs to be aware of the on-board/surrounding </w:t>
      </w:r>
      <w:r w:rsidRPr="00773E4B">
        <w:rPr>
          <w:rFonts w:ascii="Times New Roman" w:eastAsia="宋体" w:hAnsi="Times New Roman" w:cs="Times New Roman"/>
          <w:kern w:val="0"/>
          <w:sz w:val="20"/>
          <w:szCs w:val="20"/>
        </w:rPr>
        <w:t xml:space="preserve">status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of handover UE and may needs to make some optimizations for the on-board UE than the surrounding UE. Therefore, </w:t>
      </w:r>
      <w:r w:rsidRPr="00F612F9">
        <w:rPr>
          <w:rFonts w:ascii="Times New Roman" w:eastAsia="宋体" w:hAnsi="Times New Roman" w:cs="Times New Roman"/>
          <w:kern w:val="0"/>
          <w:sz w:val="20"/>
          <w:szCs w:val="20"/>
        </w:rPr>
        <w:t xml:space="preserve">on-board/surrounding </w:t>
      </w:r>
      <w:r w:rsidRPr="00773E4B">
        <w:rPr>
          <w:rFonts w:ascii="Times New Roman" w:eastAsia="宋体" w:hAnsi="Times New Roman" w:cs="Times New Roman"/>
          <w:kern w:val="0"/>
          <w:sz w:val="20"/>
          <w:szCs w:val="20"/>
        </w:rPr>
        <w:t>status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F612F9">
        <w:rPr>
          <w:rFonts w:ascii="Times New Roman" w:eastAsia="宋体" w:hAnsi="Times New Roman" w:cs="Times New Roman"/>
          <w:kern w:val="0"/>
          <w:sz w:val="20"/>
          <w:szCs w:val="20"/>
        </w:rPr>
        <w:t xml:space="preserve">of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UE can be included in the handover request message.</w:t>
      </w:r>
    </w:p>
    <w:p w14:paraId="2C4975FA" w14:textId="4A5663B5" w:rsidR="00C5700F" w:rsidRDefault="00C5700F" w:rsidP="00C5700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bookmarkStart w:id="2" w:name="OLE_LINK8"/>
      <w:r w:rsidRPr="00F612F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F612F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A756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 w:rsidRPr="00F612F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="007538A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case of UE handover during </w:t>
      </w:r>
      <w:r w:rsidR="005A26F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IAB-DU migration, to i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nclud</w:t>
      </w:r>
      <w:r w:rsidR="005A26F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</w:t>
      </w:r>
      <w:r w:rsidRPr="00F612F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n-board/surrounding 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status </w:t>
      </w:r>
      <w:r w:rsidRPr="00F612F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of UE in the handover request message.</w:t>
      </w:r>
    </w:p>
    <w:bookmarkEnd w:id="2"/>
    <w:p w14:paraId="22B01614" w14:textId="5C2D6752" w:rsidR="00A539A4" w:rsidRDefault="00C5700F" w:rsidP="00A539A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addition</w:t>
      </w:r>
      <w:r w:rsidR="00027CBB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the o</w:t>
      </w:r>
      <w:r w:rsidRPr="00C5700F">
        <w:rPr>
          <w:rFonts w:ascii="Times New Roman" w:eastAsia="宋体" w:hAnsi="Times New Roman" w:cs="Times New Roman"/>
          <w:kern w:val="0"/>
          <w:sz w:val="20"/>
          <w:szCs w:val="20"/>
        </w:rPr>
        <w:t>n-board/surrounding status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A539A4">
        <w:rPr>
          <w:rFonts w:ascii="Times New Roman" w:eastAsia="宋体" w:hAnsi="Times New Roman" w:cs="Times New Roman"/>
          <w:kern w:val="0"/>
          <w:sz w:val="20"/>
          <w:szCs w:val="20"/>
        </w:rPr>
        <w:t xml:space="preserve">all onboard UEs needs to perform migration together with the mobile IAB-node. While for the surrounding UEs camping on the mobile IAB-node, migration together with the mobile IAB-node is not an optimal choice. Once the surrounding UEs perform migration together with the mobile IAB-node, the measurement result of serving cell become worse gradually due to the mobility of mobile IAB-node, and the surrounding UEs may need to perform handover again within a short time. </w:t>
      </w:r>
    </w:p>
    <w:p w14:paraId="584BB409" w14:textId="786962A7" w:rsidR="00A539A4" w:rsidRDefault="00A539A4" w:rsidP="00A539A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In addition, as specified in the WID, n</w:t>
      </w:r>
      <w:r w:rsidRPr="00E75FF9">
        <w:rPr>
          <w:rFonts w:ascii="Times New Roman" w:eastAsia="宋体" w:hAnsi="Times New Roman" w:cs="Times New Roman"/>
          <w:kern w:val="0"/>
          <w:sz w:val="20"/>
          <w:szCs w:val="20"/>
        </w:rPr>
        <w:t xml:space="preserve">o optimizations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are </w:t>
      </w:r>
      <w:r w:rsidRPr="00E75FF9">
        <w:rPr>
          <w:rFonts w:ascii="Times New Roman" w:eastAsia="宋体" w:hAnsi="Times New Roman" w:cs="Times New Roman"/>
          <w:kern w:val="0"/>
          <w:sz w:val="20"/>
          <w:szCs w:val="20"/>
        </w:rPr>
        <w:t>for the targeting of surrounding UEs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which means all enhancements related to group mobility</w:t>
      </w:r>
      <w:r w:rsidR="003F66B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are only considered for the onboard UEs. In addition, we have agreed that RACH-less handover may be only considered for on-board UEs rather than surrounding UEs. Therefore, it’s necessary to differentiate </w:t>
      </w:r>
      <w:r w:rsidRPr="00FC6BB4">
        <w:rPr>
          <w:rFonts w:ascii="Times New Roman" w:eastAsia="宋体" w:hAnsi="Times New Roman" w:cs="Times New Roman"/>
          <w:kern w:val="0"/>
          <w:sz w:val="20"/>
          <w:szCs w:val="20"/>
        </w:rPr>
        <w:t xml:space="preserve">onboard UEs and surrounding UEs for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IAB-donor. And no matter how UE determine whether it’s in the status of onboard or surrounding, </w:t>
      </w:r>
      <w:r w:rsidRPr="0002183F">
        <w:rPr>
          <w:rFonts w:ascii="Times New Roman" w:eastAsia="宋体" w:hAnsi="Times New Roman" w:cs="Times New Roman"/>
          <w:kern w:val="0"/>
          <w:sz w:val="20"/>
          <w:szCs w:val="20"/>
        </w:rPr>
        <w:t xml:space="preserve">UE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needs to </w:t>
      </w:r>
      <w:r w:rsidRPr="0002183F">
        <w:rPr>
          <w:rFonts w:ascii="Times New Roman" w:eastAsia="宋体" w:hAnsi="Times New Roman" w:cs="Times New Roman"/>
          <w:kern w:val="0"/>
          <w:sz w:val="20"/>
          <w:szCs w:val="20"/>
        </w:rPr>
        <w:t xml:space="preserve">report its onboard/surrounding status to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IAB-donor</w:t>
      </w:r>
      <w:r w:rsidRPr="0002183F">
        <w:rPr>
          <w:rFonts w:ascii="Times New Roman" w:eastAsia="宋体" w:hAnsi="Times New Roman" w:cs="Times New Roman"/>
          <w:kern w:val="0"/>
          <w:sz w:val="20"/>
          <w:szCs w:val="20"/>
        </w:rPr>
        <w:t xml:space="preserve"> once it determine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02183F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status or change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02183F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status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6B46B501" w14:textId="6C97A5B6" w:rsidR="00A539A4" w:rsidRDefault="00A539A4" w:rsidP="00A539A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A756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UE reports its onboard/surrounding status to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IAB-donor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once it determine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status or change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status.</w:t>
      </w:r>
    </w:p>
    <w:p w14:paraId="72E0264B" w14:textId="77777777" w:rsidR="000B29B4" w:rsidRPr="0079429A" w:rsidRDefault="000B29B4" w:rsidP="000B29B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Dual connectivity 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mIAB</w:t>
      </w:r>
      <w:proofErr w:type="spellEnd"/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-node</w:t>
      </w:r>
    </w:p>
    <w:p w14:paraId="6AA2C7A8" w14:textId="77777777" w:rsidR="000B29B4" w:rsidRPr="00546C53" w:rsidRDefault="000B29B4" w:rsidP="000B29B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 agreed in the beginning of R18, m</w:t>
      </w:r>
      <w:r w:rsidRPr="00546C53">
        <w:rPr>
          <w:rFonts w:ascii="Times New Roman" w:eastAsia="宋体" w:hAnsi="Times New Roman" w:cs="Times New Roman"/>
          <w:kern w:val="0"/>
          <w:sz w:val="20"/>
          <w:szCs w:val="20"/>
        </w:rPr>
        <w:t>obility of dual-connected IAB-node is down prioritized in R18.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addition, due to the time limitation for R18, to support dual connectivity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-node will further introduce some normative impacts, for example, procedures to establish dual connectivity. Furthermore, we don’t support mobility of dual-connection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-node in this release, but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-node frequently performs handover due to the mobile of mounting vehicle, if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-node have established dual connection, the behaviors for this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>-node needs to be further discussed.</w:t>
      </w:r>
    </w:p>
    <w:p w14:paraId="01D26BBA" w14:textId="77777777" w:rsidR="000B29B4" w:rsidRPr="00445B87" w:rsidRDefault="000B29B4" w:rsidP="000B29B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bookmarkStart w:id="3" w:name="OLE_LINK1"/>
      <w:r w:rsidRPr="00445B8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Proposal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5</w:t>
      </w:r>
      <w:r w:rsidRPr="00445B8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Mobile IAB doesn't support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</w:t>
      </w:r>
      <w:r w:rsidRPr="00445B8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ual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connectivity</w:t>
      </w:r>
      <w:r w:rsidRPr="00445B8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 R18.</w:t>
      </w:r>
    </w:p>
    <w:bookmarkEnd w:id="3"/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78E257A4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 xml:space="preserve">is contribution aims to </w:t>
      </w:r>
      <w:r w:rsidR="00AC214F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AC214F">
        <w:rPr>
          <w:rFonts w:ascii="Times New Roman" w:eastAsia="宋体" w:hAnsi="Times New Roman" w:cs="Times New Roman" w:hint="eastAsia"/>
          <w:kern w:val="0"/>
          <w:sz w:val="20"/>
          <w:szCs w:val="20"/>
        </w:rPr>
        <w:t>e</w:t>
      </w:r>
      <w:r w:rsidR="00AC214F" w:rsidRPr="00853907">
        <w:rPr>
          <w:rFonts w:ascii="Times New Roman" w:eastAsia="宋体" w:hAnsi="Times New Roman" w:cs="Times New Roman"/>
          <w:kern w:val="0"/>
          <w:sz w:val="20"/>
          <w:szCs w:val="20"/>
        </w:rPr>
        <w:t>nhancements for mobility of an IAB-node together with its served UEs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</w:p>
    <w:p w14:paraId="70FEED52" w14:textId="77777777" w:rsidR="00A01590" w:rsidRPr="003B0384" w:rsidRDefault="00A01590" w:rsidP="00A0159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B0384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lastRenderedPageBreak/>
        <w:t>P</w:t>
      </w:r>
      <w:r w:rsidRPr="003B038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Legacy CHO procedure can be reused by the served UEs of mobile IAB-node, and source IAB-DU powers down the cells by implementation to trigger the CHO.</w:t>
      </w:r>
    </w:p>
    <w:p w14:paraId="33A1E9A4" w14:textId="076AC2A8" w:rsidR="00A75619" w:rsidRPr="004C7B9B" w:rsidRDefault="00A75619" w:rsidP="00A7561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2: No need to introduce time-based CHO for served UEs of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mIAB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>-node during DU migration, and source IAB-donor can spread out the UE handover via implementation.</w:t>
      </w:r>
      <w:r w:rsidR="0056596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0A0125F6" w14:textId="77777777" w:rsidR="00A75619" w:rsidRDefault="00A75619" w:rsidP="00A7561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F612F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F612F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 w:rsidRPr="00F612F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 case of UE handover during IAB-DU migration, to include o</w:t>
      </w:r>
      <w:r w:rsidRPr="00F612F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n-board/surrounding 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status </w:t>
      </w:r>
      <w:r w:rsidRPr="00F612F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of UE in the handover request message.</w:t>
      </w:r>
    </w:p>
    <w:p w14:paraId="691A0A9B" w14:textId="77777777" w:rsidR="00A75619" w:rsidRDefault="00A75619" w:rsidP="00A7561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UE reports its onboard/surrounding status to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IAB-donor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once it determine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status or change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status.</w:t>
      </w:r>
    </w:p>
    <w:p w14:paraId="38B8A8AF" w14:textId="77777777" w:rsidR="00FD0E84" w:rsidRPr="00445B87" w:rsidRDefault="00FD0E84" w:rsidP="00FD0E8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45B8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Proposal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5</w:t>
      </w:r>
      <w:r w:rsidRPr="00445B8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Mobile IAB doesn't support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</w:t>
      </w:r>
      <w:r w:rsidRPr="00445B8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ual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connectivity</w:t>
      </w:r>
      <w:r w:rsidRPr="00445B8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 R18.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0"/>
    <w:bookmarkEnd w:id="1"/>
    <w:p w14:paraId="3244BFD7" w14:textId="155EF38F" w:rsidR="00C07627" w:rsidRDefault="00C07627" w:rsidP="00C07627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RP-222671. Revised WID for </w:t>
      </w:r>
      <w:proofErr w:type="spellStart"/>
      <w:r>
        <w:rPr>
          <w:rFonts w:ascii="Times New Roman" w:eastAsia="宋体" w:hAnsi="Times New Roman" w:cs="Times New Roman"/>
          <w:kern w:val="0"/>
          <w:sz w:val="20"/>
          <w:lang w:val="x-none"/>
        </w:rPr>
        <w:t>NR_mobile_IAB</w:t>
      </w:r>
      <w:proofErr w:type="spellEnd"/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</w:p>
    <w:p w14:paraId="7E72C195" w14:textId="5661223E" w:rsidR="003E0958" w:rsidRPr="00F838A4" w:rsidRDefault="009762FC" w:rsidP="00A60CDE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hairman notes of RAN2 119</w:t>
      </w:r>
      <w:r w:rsidR="000B6282">
        <w:rPr>
          <w:rFonts w:ascii="Times New Roman" w:eastAsia="宋体" w:hAnsi="Times New Roman" w:cs="Times New Roman"/>
          <w:kern w:val="0"/>
          <w:sz w:val="20"/>
          <w:lang w:val="x-none"/>
        </w:rPr>
        <w:t>bis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-e</w:t>
      </w:r>
      <w:r w:rsidR="00D03534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  <w:r w:rsidR="00A9004F">
        <w:rPr>
          <w:rFonts w:ascii="Times New Roman" w:eastAsia="宋体" w:hAnsi="Times New Roman" w:cs="Times New Roman"/>
          <w:kern w:val="0"/>
          <w:sz w:val="20"/>
          <w:lang w:val="x-none"/>
        </w:rPr>
        <w:t>–</w:t>
      </w:r>
      <w:r w:rsidR="00D03534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12</w:t>
      </w:r>
      <w:r w:rsidR="00A60CED">
        <w:rPr>
          <w:rFonts w:ascii="Times New Roman" w:eastAsia="宋体" w:hAnsi="Times New Roman" w:cs="Times New Roman"/>
          <w:kern w:val="0"/>
          <w:sz w:val="20"/>
          <w:lang w:val="x-none"/>
        </w:rPr>
        <w:t>3</w:t>
      </w:r>
      <w:r w:rsidR="00CA3CBA">
        <w:rPr>
          <w:rFonts w:ascii="Times New Roman" w:eastAsia="宋体" w:hAnsi="Times New Roman" w:cs="Times New Roman"/>
          <w:kern w:val="0"/>
          <w:sz w:val="20"/>
          <w:lang w:val="x-none"/>
        </w:rPr>
        <w:t>bis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meeting</w:t>
      </w:r>
      <w:r w:rsidR="00D03534">
        <w:rPr>
          <w:rFonts w:ascii="Times New Roman" w:eastAsia="宋体" w:hAnsi="Times New Roman" w:cs="Times New Roman"/>
          <w:kern w:val="0"/>
          <w:sz w:val="20"/>
          <w:lang w:val="x-none"/>
        </w:rPr>
        <w:t>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sectPr w:rsidR="003E0958" w:rsidRPr="00F838A4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7F724" w14:textId="77777777" w:rsidR="00A77BB4" w:rsidRDefault="00A77BB4" w:rsidP="00AA3FAE">
      <w:r>
        <w:separator/>
      </w:r>
    </w:p>
  </w:endnote>
  <w:endnote w:type="continuationSeparator" w:id="0">
    <w:p w14:paraId="63C94D7D" w14:textId="77777777" w:rsidR="00A77BB4" w:rsidRDefault="00A77BB4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E2118" w14:textId="77777777" w:rsidR="00A77BB4" w:rsidRDefault="00A77BB4" w:rsidP="00AA3FAE">
      <w:r>
        <w:separator/>
      </w:r>
    </w:p>
  </w:footnote>
  <w:footnote w:type="continuationSeparator" w:id="0">
    <w:p w14:paraId="3B9A5663" w14:textId="77777777" w:rsidR="00A77BB4" w:rsidRDefault="00A77BB4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17E5"/>
    <w:multiLevelType w:val="hybridMultilevel"/>
    <w:tmpl w:val="AEFEBB4E"/>
    <w:lvl w:ilvl="0" w:tplc="0FE299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784D9D"/>
    <w:multiLevelType w:val="hybridMultilevel"/>
    <w:tmpl w:val="40D0D1F4"/>
    <w:lvl w:ilvl="0" w:tplc="94DC551A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  <w:b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54191B"/>
    <w:multiLevelType w:val="hybridMultilevel"/>
    <w:tmpl w:val="CFFEDC1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9C737C"/>
    <w:multiLevelType w:val="hybridMultilevel"/>
    <w:tmpl w:val="37923F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eastAsia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B41DB4"/>
    <w:multiLevelType w:val="hybridMultilevel"/>
    <w:tmpl w:val="E8AEDB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90521740">
      <w:start w:val="1"/>
      <w:numFmt w:val="decimal"/>
      <w:lvlText w:val="%2"/>
      <w:lvlJc w:val="left"/>
      <w:pPr>
        <w:ind w:left="780" w:hanging="36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F449F6"/>
    <w:multiLevelType w:val="hybridMultilevel"/>
    <w:tmpl w:val="45E279C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66936A3"/>
    <w:multiLevelType w:val="hybridMultilevel"/>
    <w:tmpl w:val="B624093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28AB5369"/>
    <w:multiLevelType w:val="hybridMultilevel"/>
    <w:tmpl w:val="C8AADF34"/>
    <w:lvl w:ilvl="0" w:tplc="817603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A287E82"/>
    <w:multiLevelType w:val="hybridMultilevel"/>
    <w:tmpl w:val="3312C4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B14D50"/>
    <w:multiLevelType w:val="hybridMultilevel"/>
    <w:tmpl w:val="0CC8AF20"/>
    <w:lvl w:ilvl="0" w:tplc="E438FA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3" w15:restartNumberingAfterBreak="0">
    <w:nsid w:val="39CB50B8"/>
    <w:multiLevelType w:val="hybridMultilevel"/>
    <w:tmpl w:val="F1CCA4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856923"/>
    <w:multiLevelType w:val="hybridMultilevel"/>
    <w:tmpl w:val="71BA76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A26513"/>
    <w:multiLevelType w:val="hybridMultilevel"/>
    <w:tmpl w:val="CD90B98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A06A15"/>
    <w:multiLevelType w:val="hybridMultilevel"/>
    <w:tmpl w:val="0324F0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D354A5E"/>
    <w:multiLevelType w:val="hybridMultilevel"/>
    <w:tmpl w:val="8806D4AE"/>
    <w:lvl w:ilvl="0" w:tplc="0FE2991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F752336"/>
    <w:multiLevelType w:val="hybridMultilevel"/>
    <w:tmpl w:val="151C30A6"/>
    <w:lvl w:ilvl="0" w:tplc="7A2C58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896"/>
        </w:tabs>
        <w:ind w:left="-89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075"/>
        </w:tabs>
        <w:ind w:left="-10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55"/>
        </w:tabs>
        <w:ind w:left="-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"/>
        </w:tabs>
        <w:ind w:left="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 w:hint="default"/>
      </w:rPr>
    </w:lvl>
  </w:abstractNum>
  <w:abstractNum w:abstractNumId="21" w15:restartNumberingAfterBreak="0">
    <w:nsid w:val="79B01ACE"/>
    <w:multiLevelType w:val="hybridMultilevel"/>
    <w:tmpl w:val="E8AEDBD2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>
      <w:start w:val="1"/>
      <w:numFmt w:val="decimal"/>
      <w:lvlText w:val="%2"/>
      <w:lvlJc w:val="left"/>
      <w:pPr>
        <w:ind w:left="780" w:hanging="36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num w:numId="1" w16cid:durableId="627008234">
    <w:abstractNumId w:val="12"/>
  </w:num>
  <w:num w:numId="2" w16cid:durableId="1909487870">
    <w:abstractNumId w:val="4"/>
  </w:num>
  <w:num w:numId="3" w16cid:durableId="1776706110">
    <w:abstractNumId w:val="2"/>
  </w:num>
  <w:num w:numId="4" w16cid:durableId="1063452926">
    <w:abstractNumId w:val="15"/>
  </w:num>
  <w:num w:numId="5" w16cid:durableId="159590811">
    <w:abstractNumId w:val="9"/>
  </w:num>
  <w:num w:numId="6" w16cid:durableId="549340024">
    <w:abstractNumId w:val="20"/>
  </w:num>
  <w:num w:numId="7" w16cid:durableId="1533570270">
    <w:abstractNumId w:val="17"/>
  </w:num>
  <w:num w:numId="8" w16cid:durableId="1911619972">
    <w:abstractNumId w:val="10"/>
  </w:num>
  <w:num w:numId="9" w16cid:durableId="512300356">
    <w:abstractNumId w:val="0"/>
  </w:num>
  <w:num w:numId="10" w16cid:durableId="1436093840">
    <w:abstractNumId w:val="5"/>
  </w:num>
  <w:num w:numId="11" w16cid:durableId="1271814385">
    <w:abstractNumId w:val="13"/>
  </w:num>
  <w:num w:numId="12" w16cid:durableId="873419911">
    <w:abstractNumId w:val="18"/>
  </w:num>
  <w:num w:numId="13" w16cid:durableId="1328247834">
    <w:abstractNumId w:val="14"/>
  </w:num>
  <w:num w:numId="14" w16cid:durableId="1523712847">
    <w:abstractNumId w:val="7"/>
  </w:num>
  <w:num w:numId="15" w16cid:durableId="1543975560">
    <w:abstractNumId w:val="1"/>
  </w:num>
  <w:num w:numId="16" w16cid:durableId="881865232">
    <w:abstractNumId w:val="16"/>
  </w:num>
  <w:num w:numId="17" w16cid:durableId="630402364">
    <w:abstractNumId w:val="3"/>
  </w:num>
  <w:num w:numId="18" w16cid:durableId="1185556464">
    <w:abstractNumId w:val="20"/>
  </w:num>
  <w:num w:numId="19" w16cid:durableId="343751357">
    <w:abstractNumId w:val="20"/>
  </w:num>
  <w:num w:numId="20" w16cid:durableId="102965749">
    <w:abstractNumId w:val="20"/>
  </w:num>
  <w:num w:numId="21" w16cid:durableId="949318608">
    <w:abstractNumId w:val="20"/>
  </w:num>
  <w:num w:numId="22" w16cid:durableId="288970765">
    <w:abstractNumId w:val="20"/>
  </w:num>
  <w:num w:numId="23" w16cid:durableId="1930917760">
    <w:abstractNumId w:val="19"/>
  </w:num>
  <w:num w:numId="24" w16cid:durableId="1639920758">
    <w:abstractNumId w:val="11"/>
  </w:num>
  <w:num w:numId="25" w16cid:durableId="14741786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232076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29721847">
    <w:abstractNumId w:val="8"/>
  </w:num>
  <w:num w:numId="28" w16cid:durableId="3471764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1DA"/>
    <w:rsid w:val="00000419"/>
    <w:rsid w:val="00004B28"/>
    <w:rsid w:val="00006633"/>
    <w:rsid w:val="0000703A"/>
    <w:rsid w:val="000078D6"/>
    <w:rsid w:val="00012F85"/>
    <w:rsid w:val="000201E2"/>
    <w:rsid w:val="0002183F"/>
    <w:rsid w:val="000240AC"/>
    <w:rsid w:val="000277D7"/>
    <w:rsid w:val="00027CBB"/>
    <w:rsid w:val="00033584"/>
    <w:rsid w:val="00036BFD"/>
    <w:rsid w:val="00036C32"/>
    <w:rsid w:val="00036D3D"/>
    <w:rsid w:val="00037738"/>
    <w:rsid w:val="00037A2D"/>
    <w:rsid w:val="0004320E"/>
    <w:rsid w:val="00043B7B"/>
    <w:rsid w:val="00047545"/>
    <w:rsid w:val="000502FD"/>
    <w:rsid w:val="000505CB"/>
    <w:rsid w:val="00055D15"/>
    <w:rsid w:val="000566E1"/>
    <w:rsid w:val="00060A16"/>
    <w:rsid w:val="00062DAA"/>
    <w:rsid w:val="00064FA3"/>
    <w:rsid w:val="00067299"/>
    <w:rsid w:val="000676A1"/>
    <w:rsid w:val="0007088F"/>
    <w:rsid w:val="000723BB"/>
    <w:rsid w:val="00072499"/>
    <w:rsid w:val="00072574"/>
    <w:rsid w:val="000752E1"/>
    <w:rsid w:val="00080CC2"/>
    <w:rsid w:val="00082EC4"/>
    <w:rsid w:val="0008663F"/>
    <w:rsid w:val="00093EF1"/>
    <w:rsid w:val="00094112"/>
    <w:rsid w:val="000978FD"/>
    <w:rsid w:val="000A1873"/>
    <w:rsid w:val="000A4883"/>
    <w:rsid w:val="000B09C9"/>
    <w:rsid w:val="000B161E"/>
    <w:rsid w:val="000B1938"/>
    <w:rsid w:val="000B1D18"/>
    <w:rsid w:val="000B2144"/>
    <w:rsid w:val="000B29B4"/>
    <w:rsid w:val="000B6282"/>
    <w:rsid w:val="000B6690"/>
    <w:rsid w:val="000C008E"/>
    <w:rsid w:val="000C0937"/>
    <w:rsid w:val="000C19A3"/>
    <w:rsid w:val="000C2AA4"/>
    <w:rsid w:val="000C6E45"/>
    <w:rsid w:val="000D18C1"/>
    <w:rsid w:val="000D2B2B"/>
    <w:rsid w:val="000D4113"/>
    <w:rsid w:val="000D4E54"/>
    <w:rsid w:val="000E15E2"/>
    <w:rsid w:val="000E1F7B"/>
    <w:rsid w:val="000E443D"/>
    <w:rsid w:val="000E5A48"/>
    <w:rsid w:val="000E6C5A"/>
    <w:rsid w:val="000E7279"/>
    <w:rsid w:val="000F40EC"/>
    <w:rsid w:val="000F739D"/>
    <w:rsid w:val="0010503F"/>
    <w:rsid w:val="001119CE"/>
    <w:rsid w:val="00111B28"/>
    <w:rsid w:val="00114A1F"/>
    <w:rsid w:val="0012010C"/>
    <w:rsid w:val="001217A1"/>
    <w:rsid w:val="001229AC"/>
    <w:rsid w:val="0012681D"/>
    <w:rsid w:val="00126DEE"/>
    <w:rsid w:val="00127B59"/>
    <w:rsid w:val="001305AC"/>
    <w:rsid w:val="00131641"/>
    <w:rsid w:val="001322B8"/>
    <w:rsid w:val="00132B08"/>
    <w:rsid w:val="00134957"/>
    <w:rsid w:val="00135BED"/>
    <w:rsid w:val="00135C3C"/>
    <w:rsid w:val="00136C10"/>
    <w:rsid w:val="00141555"/>
    <w:rsid w:val="00144C24"/>
    <w:rsid w:val="00152D85"/>
    <w:rsid w:val="001556FC"/>
    <w:rsid w:val="00157E02"/>
    <w:rsid w:val="0016588F"/>
    <w:rsid w:val="00166E1C"/>
    <w:rsid w:val="00175A07"/>
    <w:rsid w:val="00180496"/>
    <w:rsid w:val="001826EA"/>
    <w:rsid w:val="00185A91"/>
    <w:rsid w:val="00190A87"/>
    <w:rsid w:val="00190FAF"/>
    <w:rsid w:val="00191ACA"/>
    <w:rsid w:val="001A2383"/>
    <w:rsid w:val="001A34F9"/>
    <w:rsid w:val="001A4DB9"/>
    <w:rsid w:val="001A7350"/>
    <w:rsid w:val="001B1D5F"/>
    <w:rsid w:val="001B2FA1"/>
    <w:rsid w:val="001B361E"/>
    <w:rsid w:val="001B4767"/>
    <w:rsid w:val="001B507E"/>
    <w:rsid w:val="001B7E53"/>
    <w:rsid w:val="001C1DAB"/>
    <w:rsid w:val="001C1DCC"/>
    <w:rsid w:val="001C473D"/>
    <w:rsid w:val="001D012F"/>
    <w:rsid w:val="001D0C68"/>
    <w:rsid w:val="001D3376"/>
    <w:rsid w:val="001D59CE"/>
    <w:rsid w:val="001D5DFE"/>
    <w:rsid w:val="001D5F73"/>
    <w:rsid w:val="001D69F7"/>
    <w:rsid w:val="001D70B0"/>
    <w:rsid w:val="001F0BEA"/>
    <w:rsid w:val="001F1421"/>
    <w:rsid w:val="001F29C2"/>
    <w:rsid w:val="00204BF0"/>
    <w:rsid w:val="00212BCD"/>
    <w:rsid w:val="00212DB4"/>
    <w:rsid w:val="002136B8"/>
    <w:rsid w:val="002144CD"/>
    <w:rsid w:val="002145FF"/>
    <w:rsid w:val="00220099"/>
    <w:rsid w:val="00221F14"/>
    <w:rsid w:val="002222FA"/>
    <w:rsid w:val="00231C9C"/>
    <w:rsid w:val="0023239F"/>
    <w:rsid w:val="002340BA"/>
    <w:rsid w:val="002343E1"/>
    <w:rsid w:val="00234C75"/>
    <w:rsid w:val="00236C71"/>
    <w:rsid w:val="00237A12"/>
    <w:rsid w:val="002428E4"/>
    <w:rsid w:val="0024433A"/>
    <w:rsid w:val="00245E3F"/>
    <w:rsid w:val="002500C6"/>
    <w:rsid w:val="00252749"/>
    <w:rsid w:val="00253AF0"/>
    <w:rsid w:val="002551E1"/>
    <w:rsid w:val="00256265"/>
    <w:rsid w:val="00256FA7"/>
    <w:rsid w:val="002577EE"/>
    <w:rsid w:val="002600F8"/>
    <w:rsid w:val="002649BD"/>
    <w:rsid w:val="00267070"/>
    <w:rsid w:val="002720E7"/>
    <w:rsid w:val="00273494"/>
    <w:rsid w:val="002750D3"/>
    <w:rsid w:val="00276074"/>
    <w:rsid w:val="00276F97"/>
    <w:rsid w:val="00280554"/>
    <w:rsid w:val="0028087C"/>
    <w:rsid w:val="002823D1"/>
    <w:rsid w:val="00290072"/>
    <w:rsid w:val="002911AD"/>
    <w:rsid w:val="00296038"/>
    <w:rsid w:val="002A2C8B"/>
    <w:rsid w:val="002A3191"/>
    <w:rsid w:val="002A4EF2"/>
    <w:rsid w:val="002A52AF"/>
    <w:rsid w:val="002B0EC9"/>
    <w:rsid w:val="002B110B"/>
    <w:rsid w:val="002B2A17"/>
    <w:rsid w:val="002B32DD"/>
    <w:rsid w:val="002B5AC4"/>
    <w:rsid w:val="002C1AD2"/>
    <w:rsid w:val="002C257B"/>
    <w:rsid w:val="002C3897"/>
    <w:rsid w:val="002D414F"/>
    <w:rsid w:val="002D4547"/>
    <w:rsid w:val="002D4BCF"/>
    <w:rsid w:val="002D4E9D"/>
    <w:rsid w:val="002D6B36"/>
    <w:rsid w:val="002E61C9"/>
    <w:rsid w:val="002E6200"/>
    <w:rsid w:val="002E692B"/>
    <w:rsid w:val="002E6AB3"/>
    <w:rsid w:val="002E7223"/>
    <w:rsid w:val="002F4B4D"/>
    <w:rsid w:val="002F4BF9"/>
    <w:rsid w:val="002F5ADB"/>
    <w:rsid w:val="002F760C"/>
    <w:rsid w:val="002F7DD1"/>
    <w:rsid w:val="0030141D"/>
    <w:rsid w:val="00302732"/>
    <w:rsid w:val="00304AB3"/>
    <w:rsid w:val="0030768E"/>
    <w:rsid w:val="00311F6E"/>
    <w:rsid w:val="003179AD"/>
    <w:rsid w:val="00317D40"/>
    <w:rsid w:val="00320179"/>
    <w:rsid w:val="00320565"/>
    <w:rsid w:val="00321461"/>
    <w:rsid w:val="0032189B"/>
    <w:rsid w:val="003235A4"/>
    <w:rsid w:val="00327596"/>
    <w:rsid w:val="00330B37"/>
    <w:rsid w:val="00331DCD"/>
    <w:rsid w:val="00334DB1"/>
    <w:rsid w:val="00335AB1"/>
    <w:rsid w:val="00341CB7"/>
    <w:rsid w:val="00342086"/>
    <w:rsid w:val="00343CCD"/>
    <w:rsid w:val="00350C12"/>
    <w:rsid w:val="003516DE"/>
    <w:rsid w:val="00356D3E"/>
    <w:rsid w:val="00361C16"/>
    <w:rsid w:val="00365B8F"/>
    <w:rsid w:val="00366014"/>
    <w:rsid w:val="003679C3"/>
    <w:rsid w:val="003708E0"/>
    <w:rsid w:val="00371CD4"/>
    <w:rsid w:val="00372A8A"/>
    <w:rsid w:val="003731AF"/>
    <w:rsid w:val="0037446F"/>
    <w:rsid w:val="003752E3"/>
    <w:rsid w:val="00375C4E"/>
    <w:rsid w:val="00380000"/>
    <w:rsid w:val="00381282"/>
    <w:rsid w:val="003816D9"/>
    <w:rsid w:val="00384228"/>
    <w:rsid w:val="00387B6B"/>
    <w:rsid w:val="00390E2E"/>
    <w:rsid w:val="00390E73"/>
    <w:rsid w:val="00390FB4"/>
    <w:rsid w:val="00392D92"/>
    <w:rsid w:val="00392F22"/>
    <w:rsid w:val="00394045"/>
    <w:rsid w:val="00394A0E"/>
    <w:rsid w:val="003953EC"/>
    <w:rsid w:val="00396E48"/>
    <w:rsid w:val="003A0B1A"/>
    <w:rsid w:val="003A4A2A"/>
    <w:rsid w:val="003A5735"/>
    <w:rsid w:val="003A6B1D"/>
    <w:rsid w:val="003B0384"/>
    <w:rsid w:val="003B6F2C"/>
    <w:rsid w:val="003B6F44"/>
    <w:rsid w:val="003B717D"/>
    <w:rsid w:val="003B751D"/>
    <w:rsid w:val="003B789C"/>
    <w:rsid w:val="003C2950"/>
    <w:rsid w:val="003C2DC1"/>
    <w:rsid w:val="003C5399"/>
    <w:rsid w:val="003D1A4E"/>
    <w:rsid w:val="003D369B"/>
    <w:rsid w:val="003D3860"/>
    <w:rsid w:val="003D3CD3"/>
    <w:rsid w:val="003D4A95"/>
    <w:rsid w:val="003E0958"/>
    <w:rsid w:val="003E0973"/>
    <w:rsid w:val="003E1D22"/>
    <w:rsid w:val="003E3846"/>
    <w:rsid w:val="003E4C51"/>
    <w:rsid w:val="003F3AFD"/>
    <w:rsid w:val="003F56FA"/>
    <w:rsid w:val="003F66B4"/>
    <w:rsid w:val="003F6ABF"/>
    <w:rsid w:val="0040415F"/>
    <w:rsid w:val="00404AE4"/>
    <w:rsid w:val="00406254"/>
    <w:rsid w:val="004063CC"/>
    <w:rsid w:val="00412763"/>
    <w:rsid w:val="004136AB"/>
    <w:rsid w:val="00413FAB"/>
    <w:rsid w:val="00414D11"/>
    <w:rsid w:val="00415AD8"/>
    <w:rsid w:val="00415B4C"/>
    <w:rsid w:val="00415D56"/>
    <w:rsid w:val="00417286"/>
    <w:rsid w:val="00421C46"/>
    <w:rsid w:val="0042361B"/>
    <w:rsid w:val="004246D2"/>
    <w:rsid w:val="0042475F"/>
    <w:rsid w:val="00427CB3"/>
    <w:rsid w:val="004307A0"/>
    <w:rsid w:val="00430C1C"/>
    <w:rsid w:val="00436934"/>
    <w:rsid w:val="0043723B"/>
    <w:rsid w:val="00443070"/>
    <w:rsid w:val="0044584A"/>
    <w:rsid w:val="004477D6"/>
    <w:rsid w:val="00450E17"/>
    <w:rsid w:val="00450E5B"/>
    <w:rsid w:val="0045226C"/>
    <w:rsid w:val="00452823"/>
    <w:rsid w:val="00456853"/>
    <w:rsid w:val="00457055"/>
    <w:rsid w:val="00463114"/>
    <w:rsid w:val="0046367F"/>
    <w:rsid w:val="00466B81"/>
    <w:rsid w:val="00471709"/>
    <w:rsid w:val="00471AD9"/>
    <w:rsid w:val="0047389C"/>
    <w:rsid w:val="00475801"/>
    <w:rsid w:val="004774BA"/>
    <w:rsid w:val="00480000"/>
    <w:rsid w:val="00486B2C"/>
    <w:rsid w:val="004927F4"/>
    <w:rsid w:val="00494DF4"/>
    <w:rsid w:val="00496030"/>
    <w:rsid w:val="004A0C67"/>
    <w:rsid w:val="004A1AEA"/>
    <w:rsid w:val="004A25BE"/>
    <w:rsid w:val="004A42BB"/>
    <w:rsid w:val="004A5C45"/>
    <w:rsid w:val="004B3E3C"/>
    <w:rsid w:val="004B6023"/>
    <w:rsid w:val="004C60BA"/>
    <w:rsid w:val="004C735E"/>
    <w:rsid w:val="004C7B9B"/>
    <w:rsid w:val="004D32F2"/>
    <w:rsid w:val="004D4385"/>
    <w:rsid w:val="004D606F"/>
    <w:rsid w:val="004D62D5"/>
    <w:rsid w:val="004E3A43"/>
    <w:rsid w:val="004E4425"/>
    <w:rsid w:val="004E4591"/>
    <w:rsid w:val="004F61DC"/>
    <w:rsid w:val="005007D4"/>
    <w:rsid w:val="00502B78"/>
    <w:rsid w:val="005039F0"/>
    <w:rsid w:val="00510676"/>
    <w:rsid w:val="00512FC9"/>
    <w:rsid w:val="00513AA1"/>
    <w:rsid w:val="00515CED"/>
    <w:rsid w:val="0051628D"/>
    <w:rsid w:val="0051755B"/>
    <w:rsid w:val="0052004E"/>
    <w:rsid w:val="00520A23"/>
    <w:rsid w:val="0052635C"/>
    <w:rsid w:val="00530A86"/>
    <w:rsid w:val="00531B04"/>
    <w:rsid w:val="00532DC8"/>
    <w:rsid w:val="00536A3C"/>
    <w:rsid w:val="00542B46"/>
    <w:rsid w:val="005448D3"/>
    <w:rsid w:val="00544DED"/>
    <w:rsid w:val="00551CC7"/>
    <w:rsid w:val="00552A2B"/>
    <w:rsid w:val="00555FA0"/>
    <w:rsid w:val="00561831"/>
    <w:rsid w:val="00563788"/>
    <w:rsid w:val="00564234"/>
    <w:rsid w:val="005649E8"/>
    <w:rsid w:val="00565960"/>
    <w:rsid w:val="0056624E"/>
    <w:rsid w:val="0057053B"/>
    <w:rsid w:val="00575725"/>
    <w:rsid w:val="00576785"/>
    <w:rsid w:val="00576915"/>
    <w:rsid w:val="00581A65"/>
    <w:rsid w:val="00581CF8"/>
    <w:rsid w:val="00583FC8"/>
    <w:rsid w:val="00585B50"/>
    <w:rsid w:val="005866B1"/>
    <w:rsid w:val="00592A23"/>
    <w:rsid w:val="005948A9"/>
    <w:rsid w:val="005955C1"/>
    <w:rsid w:val="00595FB1"/>
    <w:rsid w:val="005963F4"/>
    <w:rsid w:val="005A09F0"/>
    <w:rsid w:val="005A26F8"/>
    <w:rsid w:val="005A382F"/>
    <w:rsid w:val="005A3D99"/>
    <w:rsid w:val="005A3F3D"/>
    <w:rsid w:val="005A5B85"/>
    <w:rsid w:val="005A69FF"/>
    <w:rsid w:val="005B2E70"/>
    <w:rsid w:val="005B486E"/>
    <w:rsid w:val="005B4A21"/>
    <w:rsid w:val="005B5C3C"/>
    <w:rsid w:val="005B7C38"/>
    <w:rsid w:val="005C2CC5"/>
    <w:rsid w:val="005C3F0F"/>
    <w:rsid w:val="005C4076"/>
    <w:rsid w:val="005C506E"/>
    <w:rsid w:val="005C5C02"/>
    <w:rsid w:val="005D0B2C"/>
    <w:rsid w:val="005D0E78"/>
    <w:rsid w:val="005D4401"/>
    <w:rsid w:val="005D4C79"/>
    <w:rsid w:val="005D7561"/>
    <w:rsid w:val="005E13D4"/>
    <w:rsid w:val="005E2E23"/>
    <w:rsid w:val="005E3163"/>
    <w:rsid w:val="005E6FC3"/>
    <w:rsid w:val="005F5AC9"/>
    <w:rsid w:val="00600785"/>
    <w:rsid w:val="006014DF"/>
    <w:rsid w:val="00603256"/>
    <w:rsid w:val="0060363E"/>
    <w:rsid w:val="006125F9"/>
    <w:rsid w:val="00616F03"/>
    <w:rsid w:val="00617F75"/>
    <w:rsid w:val="00621AA7"/>
    <w:rsid w:val="0063053E"/>
    <w:rsid w:val="00632A49"/>
    <w:rsid w:val="00632C8C"/>
    <w:rsid w:val="0063482D"/>
    <w:rsid w:val="00637F05"/>
    <w:rsid w:val="00640255"/>
    <w:rsid w:val="006469D6"/>
    <w:rsid w:val="00650A3D"/>
    <w:rsid w:val="00653BB4"/>
    <w:rsid w:val="006571A2"/>
    <w:rsid w:val="00657ABB"/>
    <w:rsid w:val="00657FF9"/>
    <w:rsid w:val="00664B31"/>
    <w:rsid w:val="00666EA1"/>
    <w:rsid w:val="0066723C"/>
    <w:rsid w:val="00667601"/>
    <w:rsid w:val="00671523"/>
    <w:rsid w:val="00672C28"/>
    <w:rsid w:val="00673EB7"/>
    <w:rsid w:val="00674294"/>
    <w:rsid w:val="006800AE"/>
    <w:rsid w:val="006812B2"/>
    <w:rsid w:val="006844A4"/>
    <w:rsid w:val="00684A23"/>
    <w:rsid w:val="0069000C"/>
    <w:rsid w:val="00692D0D"/>
    <w:rsid w:val="006931BD"/>
    <w:rsid w:val="00693D99"/>
    <w:rsid w:val="00696D8E"/>
    <w:rsid w:val="0069713B"/>
    <w:rsid w:val="00697690"/>
    <w:rsid w:val="006A0A85"/>
    <w:rsid w:val="006A1B51"/>
    <w:rsid w:val="006A22C3"/>
    <w:rsid w:val="006A7B11"/>
    <w:rsid w:val="006B2408"/>
    <w:rsid w:val="006B763F"/>
    <w:rsid w:val="006B7D13"/>
    <w:rsid w:val="006C17A2"/>
    <w:rsid w:val="006C1F5B"/>
    <w:rsid w:val="006C34BA"/>
    <w:rsid w:val="006C6E1A"/>
    <w:rsid w:val="006D3A5E"/>
    <w:rsid w:val="006D40CA"/>
    <w:rsid w:val="006D463C"/>
    <w:rsid w:val="006D4F64"/>
    <w:rsid w:val="006D51EF"/>
    <w:rsid w:val="006D62EA"/>
    <w:rsid w:val="006D662F"/>
    <w:rsid w:val="006D6EE7"/>
    <w:rsid w:val="006E7CED"/>
    <w:rsid w:val="006E7F53"/>
    <w:rsid w:val="006F009A"/>
    <w:rsid w:val="006F0E48"/>
    <w:rsid w:val="006F3309"/>
    <w:rsid w:val="006F3844"/>
    <w:rsid w:val="006F5211"/>
    <w:rsid w:val="006F54A3"/>
    <w:rsid w:val="006F718A"/>
    <w:rsid w:val="006F7948"/>
    <w:rsid w:val="006F7A32"/>
    <w:rsid w:val="00701C8C"/>
    <w:rsid w:val="007025DD"/>
    <w:rsid w:val="00703BAA"/>
    <w:rsid w:val="00704F12"/>
    <w:rsid w:val="00707153"/>
    <w:rsid w:val="00707369"/>
    <w:rsid w:val="007105BA"/>
    <w:rsid w:val="00711D23"/>
    <w:rsid w:val="00712575"/>
    <w:rsid w:val="00712DD9"/>
    <w:rsid w:val="00714F93"/>
    <w:rsid w:val="007158E6"/>
    <w:rsid w:val="00724078"/>
    <w:rsid w:val="007260FF"/>
    <w:rsid w:val="0073082C"/>
    <w:rsid w:val="00732338"/>
    <w:rsid w:val="00733434"/>
    <w:rsid w:val="007345D8"/>
    <w:rsid w:val="00735937"/>
    <w:rsid w:val="0073758A"/>
    <w:rsid w:val="00737D56"/>
    <w:rsid w:val="007514CB"/>
    <w:rsid w:val="007538A0"/>
    <w:rsid w:val="00760B23"/>
    <w:rsid w:val="00764288"/>
    <w:rsid w:val="007650AE"/>
    <w:rsid w:val="007655C6"/>
    <w:rsid w:val="00766391"/>
    <w:rsid w:val="00773E4B"/>
    <w:rsid w:val="0078172C"/>
    <w:rsid w:val="00785D79"/>
    <w:rsid w:val="00787658"/>
    <w:rsid w:val="00787DA7"/>
    <w:rsid w:val="0079372C"/>
    <w:rsid w:val="0079429A"/>
    <w:rsid w:val="007A13C5"/>
    <w:rsid w:val="007A41F5"/>
    <w:rsid w:val="007A6E39"/>
    <w:rsid w:val="007B0D5E"/>
    <w:rsid w:val="007B19BC"/>
    <w:rsid w:val="007B3B93"/>
    <w:rsid w:val="007B510C"/>
    <w:rsid w:val="007C0CA1"/>
    <w:rsid w:val="007C2284"/>
    <w:rsid w:val="007C759A"/>
    <w:rsid w:val="007C7FDE"/>
    <w:rsid w:val="007D41EC"/>
    <w:rsid w:val="007D48BB"/>
    <w:rsid w:val="007E0AA7"/>
    <w:rsid w:val="007E213F"/>
    <w:rsid w:val="007E2405"/>
    <w:rsid w:val="007E2DF6"/>
    <w:rsid w:val="007E340F"/>
    <w:rsid w:val="007E723E"/>
    <w:rsid w:val="007E7264"/>
    <w:rsid w:val="007F0218"/>
    <w:rsid w:val="007F0740"/>
    <w:rsid w:val="007F25EF"/>
    <w:rsid w:val="007F30C7"/>
    <w:rsid w:val="007F3105"/>
    <w:rsid w:val="007F34F0"/>
    <w:rsid w:val="007F7505"/>
    <w:rsid w:val="007F7E36"/>
    <w:rsid w:val="007F7F2C"/>
    <w:rsid w:val="00803FA0"/>
    <w:rsid w:val="00804083"/>
    <w:rsid w:val="00804858"/>
    <w:rsid w:val="0080763E"/>
    <w:rsid w:val="008123AB"/>
    <w:rsid w:val="00817607"/>
    <w:rsid w:val="008228B0"/>
    <w:rsid w:val="00835D43"/>
    <w:rsid w:val="00841790"/>
    <w:rsid w:val="0084197E"/>
    <w:rsid w:val="00842553"/>
    <w:rsid w:val="0084480A"/>
    <w:rsid w:val="00846209"/>
    <w:rsid w:val="00846B77"/>
    <w:rsid w:val="00856607"/>
    <w:rsid w:val="00856E29"/>
    <w:rsid w:val="0085709E"/>
    <w:rsid w:val="00857106"/>
    <w:rsid w:val="00865BF3"/>
    <w:rsid w:val="008666A0"/>
    <w:rsid w:val="008703AE"/>
    <w:rsid w:val="0087197F"/>
    <w:rsid w:val="00875D9D"/>
    <w:rsid w:val="0087634F"/>
    <w:rsid w:val="0087797E"/>
    <w:rsid w:val="00880DB1"/>
    <w:rsid w:val="00882390"/>
    <w:rsid w:val="0088277A"/>
    <w:rsid w:val="00882FE4"/>
    <w:rsid w:val="00885223"/>
    <w:rsid w:val="00886368"/>
    <w:rsid w:val="00887CF9"/>
    <w:rsid w:val="00890562"/>
    <w:rsid w:val="00895539"/>
    <w:rsid w:val="00895F59"/>
    <w:rsid w:val="00897B68"/>
    <w:rsid w:val="008A15DE"/>
    <w:rsid w:val="008A4F6F"/>
    <w:rsid w:val="008A6753"/>
    <w:rsid w:val="008A6990"/>
    <w:rsid w:val="008A6F6B"/>
    <w:rsid w:val="008B2BFF"/>
    <w:rsid w:val="008B37FF"/>
    <w:rsid w:val="008B5751"/>
    <w:rsid w:val="008C187A"/>
    <w:rsid w:val="008C1ECC"/>
    <w:rsid w:val="008C2206"/>
    <w:rsid w:val="008C2BCF"/>
    <w:rsid w:val="008E1EF4"/>
    <w:rsid w:val="008E393F"/>
    <w:rsid w:val="008E7911"/>
    <w:rsid w:val="008F1CD9"/>
    <w:rsid w:val="008F4460"/>
    <w:rsid w:val="0090218F"/>
    <w:rsid w:val="009036A3"/>
    <w:rsid w:val="00905280"/>
    <w:rsid w:val="0090562B"/>
    <w:rsid w:val="00910096"/>
    <w:rsid w:val="00911342"/>
    <w:rsid w:val="00912BC3"/>
    <w:rsid w:val="00912CF1"/>
    <w:rsid w:val="00917590"/>
    <w:rsid w:val="00920997"/>
    <w:rsid w:val="0092422F"/>
    <w:rsid w:val="00924A6E"/>
    <w:rsid w:val="009271BA"/>
    <w:rsid w:val="00927B05"/>
    <w:rsid w:val="009306C9"/>
    <w:rsid w:val="0093163A"/>
    <w:rsid w:val="00931BE8"/>
    <w:rsid w:val="0093747A"/>
    <w:rsid w:val="00937E22"/>
    <w:rsid w:val="0094075C"/>
    <w:rsid w:val="00942260"/>
    <w:rsid w:val="009460B5"/>
    <w:rsid w:val="009462DD"/>
    <w:rsid w:val="0094767F"/>
    <w:rsid w:val="009479CD"/>
    <w:rsid w:val="0095125E"/>
    <w:rsid w:val="00952028"/>
    <w:rsid w:val="0095297E"/>
    <w:rsid w:val="009536EB"/>
    <w:rsid w:val="00956BED"/>
    <w:rsid w:val="0096468A"/>
    <w:rsid w:val="0096631C"/>
    <w:rsid w:val="00966877"/>
    <w:rsid w:val="0096687C"/>
    <w:rsid w:val="00966CD3"/>
    <w:rsid w:val="009670DA"/>
    <w:rsid w:val="00967535"/>
    <w:rsid w:val="0097141E"/>
    <w:rsid w:val="0097259E"/>
    <w:rsid w:val="009762FC"/>
    <w:rsid w:val="00977DE7"/>
    <w:rsid w:val="0098482F"/>
    <w:rsid w:val="009862F0"/>
    <w:rsid w:val="009912C5"/>
    <w:rsid w:val="009928D8"/>
    <w:rsid w:val="009A1EA2"/>
    <w:rsid w:val="009A1EC0"/>
    <w:rsid w:val="009A2412"/>
    <w:rsid w:val="009A453C"/>
    <w:rsid w:val="009A5EA0"/>
    <w:rsid w:val="009A6C84"/>
    <w:rsid w:val="009B2CF8"/>
    <w:rsid w:val="009B480D"/>
    <w:rsid w:val="009B4AB1"/>
    <w:rsid w:val="009C0AD1"/>
    <w:rsid w:val="009C6980"/>
    <w:rsid w:val="009C7253"/>
    <w:rsid w:val="009D0A75"/>
    <w:rsid w:val="009D661C"/>
    <w:rsid w:val="009E2028"/>
    <w:rsid w:val="009E3E31"/>
    <w:rsid w:val="009E4367"/>
    <w:rsid w:val="009E4A78"/>
    <w:rsid w:val="009E506A"/>
    <w:rsid w:val="009E64E0"/>
    <w:rsid w:val="009E7334"/>
    <w:rsid w:val="009F010A"/>
    <w:rsid w:val="009F0D05"/>
    <w:rsid w:val="009F1A67"/>
    <w:rsid w:val="009F2104"/>
    <w:rsid w:val="009F53A5"/>
    <w:rsid w:val="00A0081A"/>
    <w:rsid w:val="00A00FB4"/>
    <w:rsid w:val="00A01590"/>
    <w:rsid w:val="00A02560"/>
    <w:rsid w:val="00A02807"/>
    <w:rsid w:val="00A0695E"/>
    <w:rsid w:val="00A126B0"/>
    <w:rsid w:val="00A1302B"/>
    <w:rsid w:val="00A212E3"/>
    <w:rsid w:val="00A2451F"/>
    <w:rsid w:val="00A25371"/>
    <w:rsid w:val="00A25C57"/>
    <w:rsid w:val="00A33FE5"/>
    <w:rsid w:val="00A407AC"/>
    <w:rsid w:val="00A539A4"/>
    <w:rsid w:val="00A54ACE"/>
    <w:rsid w:val="00A56322"/>
    <w:rsid w:val="00A60CDE"/>
    <w:rsid w:val="00A60CED"/>
    <w:rsid w:val="00A61DF4"/>
    <w:rsid w:val="00A620B4"/>
    <w:rsid w:val="00A675C7"/>
    <w:rsid w:val="00A707C5"/>
    <w:rsid w:val="00A72210"/>
    <w:rsid w:val="00A75619"/>
    <w:rsid w:val="00A75B82"/>
    <w:rsid w:val="00A765AC"/>
    <w:rsid w:val="00A77BB4"/>
    <w:rsid w:val="00A83A17"/>
    <w:rsid w:val="00A85027"/>
    <w:rsid w:val="00A8634F"/>
    <w:rsid w:val="00A87E15"/>
    <w:rsid w:val="00A9004F"/>
    <w:rsid w:val="00A90C38"/>
    <w:rsid w:val="00AA0064"/>
    <w:rsid w:val="00AA1479"/>
    <w:rsid w:val="00AA2C1B"/>
    <w:rsid w:val="00AA333A"/>
    <w:rsid w:val="00AA3CB7"/>
    <w:rsid w:val="00AA3FAE"/>
    <w:rsid w:val="00AA43E5"/>
    <w:rsid w:val="00AA6B43"/>
    <w:rsid w:val="00AA7EAE"/>
    <w:rsid w:val="00AB304B"/>
    <w:rsid w:val="00AB5BCE"/>
    <w:rsid w:val="00AC214F"/>
    <w:rsid w:val="00AC3051"/>
    <w:rsid w:val="00AC6372"/>
    <w:rsid w:val="00AC7A35"/>
    <w:rsid w:val="00AD301A"/>
    <w:rsid w:val="00AD5A77"/>
    <w:rsid w:val="00AD7B57"/>
    <w:rsid w:val="00AE02DE"/>
    <w:rsid w:val="00AE1953"/>
    <w:rsid w:val="00AE3826"/>
    <w:rsid w:val="00AE6011"/>
    <w:rsid w:val="00AE64E3"/>
    <w:rsid w:val="00AE6965"/>
    <w:rsid w:val="00AF1285"/>
    <w:rsid w:val="00AF2710"/>
    <w:rsid w:val="00B00FA0"/>
    <w:rsid w:val="00B019CD"/>
    <w:rsid w:val="00B03F05"/>
    <w:rsid w:val="00B205DD"/>
    <w:rsid w:val="00B21234"/>
    <w:rsid w:val="00B226EC"/>
    <w:rsid w:val="00B236AE"/>
    <w:rsid w:val="00B25068"/>
    <w:rsid w:val="00B25314"/>
    <w:rsid w:val="00B33EE7"/>
    <w:rsid w:val="00B36BE9"/>
    <w:rsid w:val="00B36DB5"/>
    <w:rsid w:val="00B403D4"/>
    <w:rsid w:val="00B44272"/>
    <w:rsid w:val="00B475EE"/>
    <w:rsid w:val="00B51988"/>
    <w:rsid w:val="00B51A08"/>
    <w:rsid w:val="00B51B43"/>
    <w:rsid w:val="00B53140"/>
    <w:rsid w:val="00B5693F"/>
    <w:rsid w:val="00B608CE"/>
    <w:rsid w:val="00B63582"/>
    <w:rsid w:val="00B7290B"/>
    <w:rsid w:val="00B76C9C"/>
    <w:rsid w:val="00B80225"/>
    <w:rsid w:val="00B91029"/>
    <w:rsid w:val="00B936EA"/>
    <w:rsid w:val="00BA0A92"/>
    <w:rsid w:val="00BA1A39"/>
    <w:rsid w:val="00BB03AA"/>
    <w:rsid w:val="00BB0F06"/>
    <w:rsid w:val="00BB431B"/>
    <w:rsid w:val="00BB5315"/>
    <w:rsid w:val="00BB5FC3"/>
    <w:rsid w:val="00BC23A2"/>
    <w:rsid w:val="00BC2F24"/>
    <w:rsid w:val="00BC4EA8"/>
    <w:rsid w:val="00BC540C"/>
    <w:rsid w:val="00BC5C55"/>
    <w:rsid w:val="00BC717B"/>
    <w:rsid w:val="00BD07F6"/>
    <w:rsid w:val="00BD1442"/>
    <w:rsid w:val="00BD3255"/>
    <w:rsid w:val="00BE1FB3"/>
    <w:rsid w:val="00BE3450"/>
    <w:rsid w:val="00BE3AF0"/>
    <w:rsid w:val="00BE3ECD"/>
    <w:rsid w:val="00BE544E"/>
    <w:rsid w:val="00BE56D3"/>
    <w:rsid w:val="00BE66BB"/>
    <w:rsid w:val="00BE7893"/>
    <w:rsid w:val="00BE7920"/>
    <w:rsid w:val="00BF080A"/>
    <w:rsid w:val="00BF0D08"/>
    <w:rsid w:val="00BF15C9"/>
    <w:rsid w:val="00BF6BB5"/>
    <w:rsid w:val="00C01CA9"/>
    <w:rsid w:val="00C0232F"/>
    <w:rsid w:val="00C0445B"/>
    <w:rsid w:val="00C07359"/>
    <w:rsid w:val="00C07627"/>
    <w:rsid w:val="00C137FC"/>
    <w:rsid w:val="00C1498E"/>
    <w:rsid w:val="00C16F07"/>
    <w:rsid w:val="00C220CF"/>
    <w:rsid w:val="00C25C60"/>
    <w:rsid w:val="00C3047B"/>
    <w:rsid w:val="00C31487"/>
    <w:rsid w:val="00C33EEF"/>
    <w:rsid w:val="00C35774"/>
    <w:rsid w:val="00C35973"/>
    <w:rsid w:val="00C41013"/>
    <w:rsid w:val="00C44701"/>
    <w:rsid w:val="00C447AC"/>
    <w:rsid w:val="00C448F4"/>
    <w:rsid w:val="00C472BE"/>
    <w:rsid w:val="00C50F28"/>
    <w:rsid w:val="00C53D68"/>
    <w:rsid w:val="00C567DC"/>
    <w:rsid w:val="00C5700F"/>
    <w:rsid w:val="00C61623"/>
    <w:rsid w:val="00C65F68"/>
    <w:rsid w:val="00C663F0"/>
    <w:rsid w:val="00C70120"/>
    <w:rsid w:val="00C733E5"/>
    <w:rsid w:val="00C75852"/>
    <w:rsid w:val="00C758A1"/>
    <w:rsid w:val="00C81BA0"/>
    <w:rsid w:val="00C83745"/>
    <w:rsid w:val="00C84013"/>
    <w:rsid w:val="00C912E7"/>
    <w:rsid w:val="00C92F7E"/>
    <w:rsid w:val="00C93460"/>
    <w:rsid w:val="00C9636B"/>
    <w:rsid w:val="00C97A48"/>
    <w:rsid w:val="00CA0036"/>
    <w:rsid w:val="00CA03E2"/>
    <w:rsid w:val="00CA11A4"/>
    <w:rsid w:val="00CA1662"/>
    <w:rsid w:val="00CA2F8B"/>
    <w:rsid w:val="00CA3CBA"/>
    <w:rsid w:val="00CA3FA7"/>
    <w:rsid w:val="00CB1F8C"/>
    <w:rsid w:val="00CB3AF7"/>
    <w:rsid w:val="00CB786B"/>
    <w:rsid w:val="00CC03CF"/>
    <w:rsid w:val="00CC1A0C"/>
    <w:rsid w:val="00CC4341"/>
    <w:rsid w:val="00CC5834"/>
    <w:rsid w:val="00CC5F4B"/>
    <w:rsid w:val="00CC62E8"/>
    <w:rsid w:val="00CC72B0"/>
    <w:rsid w:val="00CD0C0C"/>
    <w:rsid w:val="00CD3114"/>
    <w:rsid w:val="00CD729C"/>
    <w:rsid w:val="00CE298A"/>
    <w:rsid w:val="00CE3E0A"/>
    <w:rsid w:val="00CE565B"/>
    <w:rsid w:val="00CE7C33"/>
    <w:rsid w:val="00CF2621"/>
    <w:rsid w:val="00CF303D"/>
    <w:rsid w:val="00CF477A"/>
    <w:rsid w:val="00CF4D2F"/>
    <w:rsid w:val="00CF781D"/>
    <w:rsid w:val="00D01B08"/>
    <w:rsid w:val="00D01B82"/>
    <w:rsid w:val="00D02D3B"/>
    <w:rsid w:val="00D03534"/>
    <w:rsid w:val="00D10276"/>
    <w:rsid w:val="00D104F6"/>
    <w:rsid w:val="00D13979"/>
    <w:rsid w:val="00D16925"/>
    <w:rsid w:val="00D20225"/>
    <w:rsid w:val="00D20EDC"/>
    <w:rsid w:val="00D226CE"/>
    <w:rsid w:val="00D242C5"/>
    <w:rsid w:val="00D248E0"/>
    <w:rsid w:val="00D24D72"/>
    <w:rsid w:val="00D26BF2"/>
    <w:rsid w:val="00D26F6E"/>
    <w:rsid w:val="00D27F50"/>
    <w:rsid w:val="00D35939"/>
    <w:rsid w:val="00D43587"/>
    <w:rsid w:val="00D43FDB"/>
    <w:rsid w:val="00D45C4F"/>
    <w:rsid w:val="00D526C9"/>
    <w:rsid w:val="00D533AB"/>
    <w:rsid w:val="00D5676C"/>
    <w:rsid w:val="00D577F8"/>
    <w:rsid w:val="00D57EF6"/>
    <w:rsid w:val="00D6107C"/>
    <w:rsid w:val="00D635A8"/>
    <w:rsid w:val="00D73418"/>
    <w:rsid w:val="00D73C0C"/>
    <w:rsid w:val="00D74DD4"/>
    <w:rsid w:val="00D75DA1"/>
    <w:rsid w:val="00D76F6E"/>
    <w:rsid w:val="00D801F5"/>
    <w:rsid w:val="00D812CE"/>
    <w:rsid w:val="00D82D5D"/>
    <w:rsid w:val="00D851CA"/>
    <w:rsid w:val="00D85925"/>
    <w:rsid w:val="00D869B7"/>
    <w:rsid w:val="00D92198"/>
    <w:rsid w:val="00D92865"/>
    <w:rsid w:val="00D95016"/>
    <w:rsid w:val="00D956D6"/>
    <w:rsid w:val="00D96DF4"/>
    <w:rsid w:val="00D971A3"/>
    <w:rsid w:val="00D972E4"/>
    <w:rsid w:val="00D9742C"/>
    <w:rsid w:val="00DA0578"/>
    <w:rsid w:val="00DA4EBC"/>
    <w:rsid w:val="00DA6317"/>
    <w:rsid w:val="00DB020D"/>
    <w:rsid w:val="00DB113C"/>
    <w:rsid w:val="00DB22CF"/>
    <w:rsid w:val="00DB5E41"/>
    <w:rsid w:val="00DC00CD"/>
    <w:rsid w:val="00DC0D46"/>
    <w:rsid w:val="00DC21C1"/>
    <w:rsid w:val="00DC2554"/>
    <w:rsid w:val="00DC27A2"/>
    <w:rsid w:val="00DC2B66"/>
    <w:rsid w:val="00DC3576"/>
    <w:rsid w:val="00DC494E"/>
    <w:rsid w:val="00DC4A89"/>
    <w:rsid w:val="00DD0D2A"/>
    <w:rsid w:val="00DD4A2B"/>
    <w:rsid w:val="00DD4FF8"/>
    <w:rsid w:val="00DE0283"/>
    <w:rsid w:val="00DE15ED"/>
    <w:rsid w:val="00DE44DC"/>
    <w:rsid w:val="00DF1E8D"/>
    <w:rsid w:val="00DF66F0"/>
    <w:rsid w:val="00DF6E59"/>
    <w:rsid w:val="00DF760F"/>
    <w:rsid w:val="00E00335"/>
    <w:rsid w:val="00E00799"/>
    <w:rsid w:val="00E00E64"/>
    <w:rsid w:val="00E026F9"/>
    <w:rsid w:val="00E048A2"/>
    <w:rsid w:val="00E053C3"/>
    <w:rsid w:val="00E05A10"/>
    <w:rsid w:val="00E063C8"/>
    <w:rsid w:val="00E06C9B"/>
    <w:rsid w:val="00E07099"/>
    <w:rsid w:val="00E13436"/>
    <w:rsid w:val="00E15030"/>
    <w:rsid w:val="00E22EFA"/>
    <w:rsid w:val="00E2767D"/>
    <w:rsid w:val="00E27EA4"/>
    <w:rsid w:val="00E31514"/>
    <w:rsid w:val="00E344A7"/>
    <w:rsid w:val="00E345CB"/>
    <w:rsid w:val="00E3573E"/>
    <w:rsid w:val="00E37BD6"/>
    <w:rsid w:val="00E4510C"/>
    <w:rsid w:val="00E45A53"/>
    <w:rsid w:val="00E51052"/>
    <w:rsid w:val="00E52A20"/>
    <w:rsid w:val="00E549F7"/>
    <w:rsid w:val="00E55256"/>
    <w:rsid w:val="00E55CE1"/>
    <w:rsid w:val="00E55D1E"/>
    <w:rsid w:val="00E56D80"/>
    <w:rsid w:val="00E616FB"/>
    <w:rsid w:val="00E62A8E"/>
    <w:rsid w:val="00E673B3"/>
    <w:rsid w:val="00E67471"/>
    <w:rsid w:val="00E730BA"/>
    <w:rsid w:val="00E75FF9"/>
    <w:rsid w:val="00E76D60"/>
    <w:rsid w:val="00E8113F"/>
    <w:rsid w:val="00E82D5F"/>
    <w:rsid w:val="00E867B3"/>
    <w:rsid w:val="00E86B58"/>
    <w:rsid w:val="00E87FD6"/>
    <w:rsid w:val="00E96256"/>
    <w:rsid w:val="00E968B2"/>
    <w:rsid w:val="00EA3E46"/>
    <w:rsid w:val="00EA7B56"/>
    <w:rsid w:val="00EB0F40"/>
    <w:rsid w:val="00EB1001"/>
    <w:rsid w:val="00EB4E5F"/>
    <w:rsid w:val="00EB583A"/>
    <w:rsid w:val="00EB6CFC"/>
    <w:rsid w:val="00EC77A0"/>
    <w:rsid w:val="00EE1F08"/>
    <w:rsid w:val="00EE29DC"/>
    <w:rsid w:val="00EE3198"/>
    <w:rsid w:val="00EE4D51"/>
    <w:rsid w:val="00EE70D6"/>
    <w:rsid w:val="00EF0E7E"/>
    <w:rsid w:val="00EF576D"/>
    <w:rsid w:val="00EF57C9"/>
    <w:rsid w:val="00F00BFF"/>
    <w:rsid w:val="00F017C8"/>
    <w:rsid w:val="00F02242"/>
    <w:rsid w:val="00F02CF5"/>
    <w:rsid w:val="00F03209"/>
    <w:rsid w:val="00F0377E"/>
    <w:rsid w:val="00F0569A"/>
    <w:rsid w:val="00F06A89"/>
    <w:rsid w:val="00F06CD6"/>
    <w:rsid w:val="00F11603"/>
    <w:rsid w:val="00F119B3"/>
    <w:rsid w:val="00F1543A"/>
    <w:rsid w:val="00F15BDB"/>
    <w:rsid w:val="00F22551"/>
    <w:rsid w:val="00F23BB4"/>
    <w:rsid w:val="00F23F71"/>
    <w:rsid w:val="00F2498B"/>
    <w:rsid w:val="00F27DE5"/>
    <w:rsid w:val="00F31514"/>
    <w:rsid w:val="00F35A58"/>
    <w:rsid w:val="00F376F2"/>
    <w:rsid w:val="00F37BD9"/>
    <w:rsid w:val="00F37C75"/>
    <w:rsid w:val="00F41CAD"/>
    <w:rsid w:val="00F437EA"/>
    <w:rsid w:val="00F52357"/>
    <w:rsid w:val="00F55239"/>
    <w:rsid w:val="00F5677C"/>
    <w:rsid w:val="00F56AEB"/>
    <w:rsid w:val="00F56B33"/>
    <w:rsid w:val="00F572B4"/>
    <w:rsid w:val="00F612F9"/>
    <w:rsid w:val="00F6131B"/>
    <w:rsid w:val="00F61B55"/>
    <w:rsid w:val="00F62D40"/>
    <w:rsid w:val="00F65F71"/>
    <w:rsid w:val="00F71128"/>
    <w:rsid w:val="00F7376B"/>
    <w:rsid w:val="00F75A55"/>
    <w:rsid w:val="00F769C9"/>
    <w:rsid w:val="00F77E5C"/>
    <w:rsid w:val="00F77FD7"/>
    <w:rsid w:val="00F83896"/>
    <w:rsid w:val="00F838A4"/>
    <w:rsid w:val="00F862F2"/>
    <w:rsid w:val="00F90279"/>
    <w:rsid w:val="00F910F0"/>
    <w:rsid w:val="00F91AD1"/>
    <w:rsid w:val="00F961F5"/>
    <w:rsid w:val="00FA19E0"/>
    <w:rsid w:val="00FA25E1"/>
    <w:rsid w:val="00FA3FF7"/>
    <w:rsid w:val="00FA440F"/>
    <w:rsid w:val="00FB2DC5"/>
    <w:rsid w:val="00FB7488"/>
    <w:rsid w:val="00FC144A"/>
    <w:rsid w:val="00FC1D89"/>
    <w:rsid w:val="00FC3621"/>
    <w:rsid w:val="00FC4A3C"/>
    <w:rsid w:val="00FC6BB4"/>
    <w:rsid w:val="00FD0E84"/>
    <w:rsid w:val="00FD7D72"/>
    <w:rsid w:val="00FE008A"/>
    <w:rsid w:val="00FE092E"/>
    <w:rsid w:val="00FE259C"/>
    <w:rsid w:val="00FE796C"/>
    <w:rsid w:val="00FF1C80"/>
    <w:rsid w:val="00FF2385"/>
    <w:rsid w:val="00FF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78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,列表段落11"/>
    <w:basedOn w:val="a"/>
    <w:link w:val="ad"/>
    <w:uiPriority w:val="34"/>
    <w:qFormat/>
    <w:rsid w:val="00064FA3"/>
    <w:pPr>
      <w:ind w:firstLineChars="200" w:firstLine="420"/>
    </w:pPr>
  </w:style>
  <w:style w:type="paragraph" w:styleId="ae">
    <w:name w:val="annotation text"/>
    <w:basedOn w:val="a"/>
    <w:link w:val="af"/>
    <w:uiPriority w:val="99"/>
    <w:semiHidden/>
    <w:unhideWhenUsed/>
    <w:rsid w:val="00AF2710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AF2710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AF2710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AF2710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927B05"/>
    <w:pPr>
      <w:widowControl/>
      <w:numPr>
        <w:numId w:val="6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B1">
    <w:name w:val="B1"/>
    <w:basedOn w:val="af2"/>
    <w:link w:val="B1Char1"/>
    <w:rsid w:val="00B80225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har"/>
    <w:rsid w:val="00B80225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1">
    <w:name w:val="B1 Char1"/>
    <w:link w:val="B1"/>
    <w:locked/>
    <w:rsid w:val="00B80225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locked/>
    <w:rsid w:val="00B80225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2">
    <w:name w:val="List"/>
    <w:basedOn w:val="a"/>
    <w:uiPriority w:val="99"/>
    <w:semiHidden/>
    <w:unhideWhenUsed/>
    <w:rsid w:val="00B80225"/>
    <w:pPr>
      <w:ind w:left="2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B80225"/>
    <w:pPr>
      <w:ind w:leftChars="200" w:left="100" w:hangingChars="200" w:hanging="200"/>
      <w:contextualSpacing/>
    </w:pPr>
  </w:style>
  <w:style w:type="paragraph" w:styleId="af3">
    <w:name w:val="Normal (Web)"/>
    <w:basedOn w:val="a"/>
    <w:uiPriority w:val="99"/>
    <w:unhideWhenUsed/>
    <w:rsid w:val="003C53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text">
    <w:name w:val="main text"/>
    <w:basedOn w:val="a"/>
    <w:link w:val="maintextChar"/>
    <w:qFormat/>
    <w:rsid w:val="00712DD9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12DD9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customStyle="1" w:styleId="Doc-text2">
    <w:name w:val="Doc-text2"/>
    <w:basedOn w:val="a"/>
    <w:link w:val="Doc-text2Char"/>
    <w:qFormat/>
    <w:rsid w:val="00657ABB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657ABB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ad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c"/>
    <w:uiPriority w:val="34"/>
    <w:qFormat/>
    <w:locked/>
    <w:rsid w:val="003E09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13F0C-EC81-4187-A1D5-F48B8820B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3907</TotalTime>
  <Pages>3</Pages>
  <Words>1189</Words>
  <Characters>6782</Characters>
  <Application>Microsoft Office Word</Application>
  <DocSecurity>0</DocSecurity>
  <Lines>56</Lines>
  <Paragraphs>15</Paragraphs>
  <ScaleCrop>false</ScaleCrop>
  <Company/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783</cp:revision>
  <dcterms:created xsi:type="dcterms:W3CDTF">2021-01-15T02:11:00Z</dcterms:created>
  <dcterms:modified xsi:type="dcterms:W3CDTF">2023-11-03T01:43:00Z</dcterms:modified>
</cp:coreProperties>
</file>